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84" w:rsidRDefault="00BA0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195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SUPPLEMENTAL INSTRUCTION WHERE THE JURY IS UNABLE TO AGREE</w:t>
      </w:r>
    </w:p>
    <w:p w:rsidR="00BA0684" w:rsidRDefault="00BA0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A0684" w:rsidRDefault="00BA0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court has been informed that the jury is unable to agree on a verdict.</w:t>
      </w:r>
      <w:r w:rsidR="009C7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You are not going to be kept here until you do agree, but you jurors are as competent to agree on a verdict as the next jury that may be called to hear the same evidence and arguments that you have heard.</w:t>
      </w: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do not have to violate your individual judgment and conscience.</w:t>
      </w:r>
      <w:r w:rsidR="009C7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However, you do have the duty to be open-minded to discuss the evidence freely and fairly, to listen to the arguments of your fellow jurors, and to examine your own position and to make a conscientious effort to agree on a verdict.</w:t>
      </w: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Remember, agreement by ten (five) or more jurors is sufficient to become the verdict of the jury. [If you can do so consistently with your duty as a juror, at least the same ten (five) should agree in all the answers (as to a particular claim).]</w:t>
      </w:r>
      <w:r w:rsidR="009C7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If possible, I ask you to be unanimous.</w:t>
      </w: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the bottom of the verdict, you will find a place provided where dissenting jurors, if there be any, will sign their name or names and state the answer or answers with which they do not agree.</w:t>
      </w:r>
      <w:r w:rsidR="009C74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Either the blank lines or the space below them may be used for that purpose.</w:t>
      </w: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1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COMMENT</w:t>
      </w: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instruction was originally published in 1972 and revised in 1991 and 2002.</w:t>
      </w:r>
      <w:r w:rsidR="009C74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comment was updated in 1980 and was reviewed in 2002 without change.</w:t>
      </w:r>
    </w:p>
    <w:p w:rsidR="009C74E4" w:rsidRDefault="009C74E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BA0684" w:rsidRDefault="00BA0684" w:rsidP="00AC6148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Wis. Stat. </w:t>
      </w:r>
      <w:r w:rsidR="00BE0D2E">
        <w:rPr>
          <w:rFonts w:ascii="Times New Roman" w:hAnsi="Times New Roman" w:cs="Times New Roman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 xml:space="preserve"> 805.13(5).</w:t>
      </w:r>
    </w:p>
    <w:p w:rsidR="00BA0684" w:rsidRDefault="00BA0684" w:rsidP="00AC6148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A0684" w:rsidRDefault="00BA0684" w:rsidP="00AC6148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Kelley v. State</w:t>
      </w:r>
      <w:r>
        <w:rPr>
          <w:rFonts w:ascii="Times New Roman" w:hAnsi="Times New Roman" w:cs="Times New Roman"/>
          <w:sz w:val="22"/>
          <w:szCs w:val="22"/>
        </w:rPr>
        <w:t>, 51 Wis.2d 641, 645, 187 N.W.2d 810 (1971).</w:t>
      </w:r>
      <w:r w:rsidR="009C74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See also </w:t>
      </w:r>
      <w:r>
        <w:rPr>
          <w:rFonts w:ascii="Times New Roman" w:hAnsi="Times New Roman" w:cs="Times New Roman"/>
          <w:sz w:val="22"/>
          <w:szCs w:val="22"/>
          <w:u w:val="single"/>
        </w:rPr>
        <w:t>Lewandowski v. Continental Casualty Co.</w:t>
      </w:r>
      <w:r>
        <w:rPr>
          <w:rFonts w:ascii="Times New Roman" w:hAnsi="Times New Roman" w:cs="Times New Roman"/>
          <w:sz w:val="22"/>
          <w:szCs w:val="22"/>
        </w:rPr>
        <w:t>, 88 Wis.2d 271, 282, 276 N.W.2d 284 (1979).</w:t>
      </w:r>
    </w:p>
    <w:p w:rsidR="00BA0684" w:rsidRDefault="00BA0684" w:rsidP="00AC6148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A0684" w:rsidRDefault="00BA0684" w:rsidP="00AC6148">
      <w:pPr>
        <w:keepNext/>
        <w:keepLines/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is not error to permit a civil jury to separate at night and return the next morning to continue deliberations.</w:t>
      </w:r>
      <w:r w:rsidR="009C74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Annot., 77 A.L.R.2d 1086 (1961).</w:t>
      </w: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reinstruction of the jury, see </w:t>
      </w:r>
      <w:r>
        <w:rPr>
          <w:rFonts w:ascii="Times New Roman" w:hAnsi="Times New Roman" w:cs="Times New Roman"/>
          <w:sz w:val="22"/>
          <w:szCs w:val="22"/>
          <w:u w:val="single"/>
        </w:rPr>
        <w:t>Hareng v. Blanke</w:t>
      </w:r>
      <w:r>
        <w:rPr>
          <w:rFonts w:ascii="Times New Roman" w:hAnsi="Times New Roman" w:cs="Times New Roman"/>
          <w:sz w:val="22"/>
          <w:szCs w:val="22"/>
        </w:rPr>
        <w:t>, 90 Wis.2d 158, 279 N.W.2d 437 (1979).</w:t>
      </w:r>
    </w:p>
    <w:p w:rsidR="00BA0684" w:rsidRDefault="00BA068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BA0684" w:rsidSect="00BA0684">
      <w:headerReference w:type="default" r:id="rId6"/>
      <w:footerReference w:type="default" r:id="rId7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13" w:rsidRDefault="00E13A13" w:rsidP="00BA0684">
      <w:r>
        <w:separator/>
      </w:r>
    </w:p>
  </w:endnote>
  <w:endnote w:type="continuationSeparator" w:id="0">
    <w:p w:rsidR="00E13A13" w:rsidRDefault="00E13A13" w:rsidP="00BA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E4" w:rsidRDefault="009C74E4" w:rsidP="009C74E4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</w:t>
    </w:r>
    <w:r>
      <w:rPr>
        <w:rFonts w:ascii="Arial" w:hAnsi="Arial"/>
        <w:sz w:val="20"/>
      </w:rPr>
      <w:t>2003, Regents, Univ. of Wis.</w:t>
    </w:r>
  </w:p>
  <w:p w:rsidR="00BA0684" w:rsidRPr="009C74E4" w:rsidRDefault="009C74E4" w:rsidP="009C74E4">
    <w:pPr>
      <w:pStyle w:val="Footer"/>
      <w:jc w:val="center"/>
      <w:rPr>
        <w:rFonts w:ascii="Arial" w:eastAsia="PMingLiU" w:hAnsi="Arial"/>
        <w:sz w:val="20"/>
      </w:rPr>
    </w:pPr>
    <w:r w:rsidRPr="00023C66">
      <w:rPr>
        <w:rFonts w:ascii="Arial" w:hAnsi="Arial"/>
        <w:sz w:val="20"/>
      </w:rPr>
      <w:fldChar w:fldCharType="begin"/>
    </w:r>
    <w:r w:rsidRPr="00023C66">
      <w:rPr>
        <w:rFonts w:ascii="Arial" w:hAnsi="Arial"/>
        <w:sz w:val="20"/>
      </w:rPr>
      <w:instrText xml:space="preserve"> PAGE   \* MERGEFORMAT </w:instrText>
    </w:r>
    <w:r w:rsidRPr="00023C66">
      <w:rPr>
        <w:rFonts w:ascii="Arial" w:hAnsi="Arial"/>
        <w:sz w:val="20"/>
      </w:rPr>
      <w:fldChar w:fldCharType="separate"/>
    </w:r>
    <w:r w:rsidR="000C14A2">
      <w:rPr>
        <w:rFonts w:ascii="Arial" w:hAnsi="Arial"/>
        <w:noProof/>
        <w:sz w:val="20"/>
      </w:rPr>
      <w:t>1</w:t>
    </w:r>
    <w:r w:rsidRPr="00023C66"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13" w:rsidRDefault="00E13A13" w:rsidP="00BA0684">
      <w:r>
        <w:separator/>
      </w:r>
    </w:p>
  </w:footnote>
  <w:footnote w:type="continuationSeparator" w:id="0">
    <w:p w:rsidR="00E13A13" w:rsidRDefault="00E13A13" w:rsidP="00BA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84" w:rsidRDefault="00BA0684">
    <w:pPr>
      <w:rPr>
        <w:rFonts w:ascii="Arial" w:hAnsi="Arial" w:cs="Arial"/>
        <w:sz w:val="28"/>
        <w:szCs w:val="28"/>
      </w:rPr>
    </w:pPr>
  </w:p>
  <w:p w:rsidR="00BA0684" w:rsidRDefault="00BA0684">
    <w:pPr>
      <w:tabs>
        <w:tab w:val="center" w:pos="4680"/>
        <w:tab w:val="right" w:pos="9360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195</w:t>
    </w:r>
    <w:r>
      <w:rPr>
        <w:rFonts w:ascii="Arial" w:hAnsi="Arial" w:cs="Arial"/>
        <w:b/>
        <w:bCs/>
        <w:sz w:val="28"/>
        <w:szCs w:val="28"/>
      </w:rPr>
      <w:tab/>
      <w:t>WIS JI-CIVIL</w:t>
    </w:r>
    <w:r>
      <w:rPr>
        <w:rFonts w:ascii="Arial" w:hAnsi="Arial" w:cs="Arial"/>
        <w:b/>
        <w:bCs/>
        <w:sz w:val="28"/>
        <w:szCs w:val="28"/>
      </w:rPr>
      <w:tab/>
      <w:t>195</w:t>
    </w:r>
  </w:p>
  <w:p w:rsidR="00BA0684" w:rsidRDefault="00BA0684">
    <w:pPr>
      <w:rPr>
        <w:rFonts w:ascii="Arial" w:hAnsi="Arial" w:cs="Arial"/>
        <w:sz w:val="28"/>
        <w:szCs w:val="28"/>
      </w:rPr>
    </w:pPr>
  </w:p>
  <w:p w:rsidR="00BA0684" w:rsidRDefault="00BA0684">
    <w:pPr>
      <w:rPr>
        <w:rFonts w:ascii="Arial" w:hAnsi="Arial" w:cs="Arial"/>
        <w:sz w:val="28"/>
        <w:szCs w:val="28"/>
      </w:rPr>
    </w:pPr>
  </w:p>
  <w:p w:rsidR="00BA0684" w:rsidRDefault="00BA0684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84"/>
    <w:rsid w:val="000C14A2"/>
    <w:rsid w:val="0036245C"/>
    <w:rsid w:val="003F52E2"/>
    <w:rsid w:val="005E242D"/>
    <w:rsid w:val="006E3EAB"/>
    <w:rsid w:val="007B00A3"/>
    <w:rsid w:val="009C74E4"/>
    <w:rsid w:val="00AC6148"/>
    <w:rsid w:val="00BA0684"/>
    <w:rsid w:val="00BE0D2E"/>
    <w:rsid w:val="00E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D48F8A3-4F9C-46AC-9B2A-2CAA50E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4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4E4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4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4E4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2021-12-13T19:44:00Z</dcterms:created>
  <dcterms:modified xsi:type="dcterms:W3CDTF">2021-12-13T19:44:00Z</dcterms:modified>
</cp:coreProperties>
</file>