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4B725" w14:textId="77777777" w:rsidR="002B4430" w:rsidRDefault="002B4430" w:rsidP="00EB2969">
      <w:pPr>
        <w:widowControl/>
        <w:tabs>
          <w:tab w:val="left" w:pos="936"/>
          <w:tab w:val="left" w:pos="1440"/>
          <w:tab w:val="left" w:pos="2160"/>
          <w:tab w:val="left" w:pos="2880"/>
          <w:tab w:val="left" w:pos="3600"/>
          <w:tab w:val="left" w:pos="4320"/>
          <w:tab w:val="left" w:pos="5040"/>
          <w:tab w:val="left" w:pos="5760"/>
        </w:tabs>
        <w:ind w:left="936" w:hanging="936"/>
        <w:jc w:val="both"/>
        <w:rPr>
          <w:sz w:val="26"/>
          <w:szCs w:val="26"/>
        </w:rPr>
      </w:pPr>
      <w:r>
        <w:rPr>
          <w:b/>
          <w:bCs/>
          <w:sz w:val="26"/>
          <w:szCs w:val="26"/>
        </w:rPr>
        <w:t>3028</w:t>
      </w:r>
      <w:r>
        <w:rPr>
          <w:b/>
          <w:bCs/>
          <w:sz w:val="26"/>
          <w:szCs w:val="26"/>
        </w:rPr>
        <w:tab/>
      </w:r>
      <w:r w:rsidRPr="000519EE">
        <w:rPr>
          <w:b/>
          <w:bCs/>
          <w:sz w:val="26"/>
          <w:szCs w:val="26"/>
        </w:rPr>
        <w:t>CONTRACTS IMPLIED IN LAW (UNJUST ENRICHMENT</w:t>
      </w:r>
      <w:r>
        <w:rPr>
          <w:b/>
          <w:bCs/>
          <w:sz w:val="26"/>
          <w:szCs w:val="26"/>
        </w:rPr>
        <w:t>)</w:t>
      </w:r>
    </w:p>
    <w:p w14:paraId="7492D4BD" w14:textId="4050CE45" w:rsidR="005A2FE1" w:rsidRDefault="005A2FE1" w:rsidP="00EB2969">
      <w:pPr>
        <w:jc w:val="both"/>
        <w:rPr>
          <w:sz w:val="26"/>
          <w:szCs w:val="26"/>
        </w:rPr>
      </w:pPr>
    </w:p>
    <w:p w14:paraId="7705FE5C" w14:textId="77777777" w:rsidR="00A97A35" w:rsidRPr="00A97A35" w:rsidRDefault="00A97A35" w:rsidP="00EB2969">
      <w:pPr>
        <w:jc w:val="both"/>
        <w:rPr>
          <w:sz w:val="26"/>
          <w:szCs w:val="26"/>
        </w:rPr>
      </w:pPr>
    </w:p>
    <w:p w14:paraId="3FF84FBF" w14:textId="77777777" w:rsidR="002B4430" w:rsidRPr="002B4430" w:rsidRDefault="002B4430" w:rsidP="00A97A35">
      <w:pPr>
        <w:spacing w:line="480" w:lineRule="auto"/>
        <w:ind w:firstLine="450"/>
        <w:jc w:val="both"/>
        <w:rPr>
          <w:sz w:val="26"/>
          <w:szCs w:val="26"/>
        </w:rPr>
      </w:pPr>
      <w:r w:rsidRPr="002B4430">
        <w:rPr>
          <w:sz w:val="26"/>
          <w:szCs w:val="26"/>
        </w:rPr>
        <w:t>This case involves a claim based upon alleged unjust enrichment.</w:t>
      </w:r>
    </w:p>
    <w:p w14:paraId="34181A3E" w14:textId="3F2BD722" w:rsidR="002B4430" w:rsidRPr="002B4430" w:rsidRDefault="002B4430" w:rsidP="00A97A35">
      <w:pPr>
        <w:spacing w:line="480" w:lineRule="auto"/>
        <w:ind w:firstLine="450"/>
        <w:jc w:val="both"/>
        <w:rPr>
          <w:sz w:val="26"/>
          <w:szCs w:val="26"/>
        </w:rPr>
      </w:pPr>
      <w:r w:rsidRPr="002B4430">
        <w:rPr>
          <w:sz w:val="26"/>
          <w:szCs w:val="26"/>
        </w:rPr>
        <w:t>The elem</w:t>
      </w:r>
      <w:r w:rsidR="00A97A35">
        <w:rPr>
          <w:sz w:val="26"/>
          <w:szCs w:val="26"/>
        </w:rPr>
        <w:t xml:space="preserve">ents of unjust enrichment are: </w:t>
      </w:r>
      <w:r w:rsidRPr="002B4430">
        <w:rPr>
          <w:sz w:val="26"/>
          <w:szCs w:val="26"/>
        </w:rPr>
        <w:t xml:space="preserve">(1) a benefit conferred upon the defendant by the plaintiff; (2) knowledge or appreciation of the benefit by the defendant; and (3) acceptance and retention by the defendant of such benefit under such circumstances that it would be unfair for him or her to retain it without paying the value thereof. </w:t>
      </w:r>
    </w:p>
    <w:p w14:paraId="54B8D2A7" w14:textId="32209CFD" w:rsidR="002B4430" w:rsidRPr="002B4430" w:rsidRDefault="002B4430" w:rsidP="00A97A35">
      <w:pPr>
        <w:spacing w:line="480" w:lineRule="auto"/>
        <w:ind w:firstLine="450"/>
        <w:jc w:val="both"/>
        <w:rPr>
          <w:sz w:val="26"/>
          <w:szCs w:val="26"/>
        </w:rPr>
      </w:pPr>
      <w:r w:rsidRPr="002B4430">
        <w:rPr>
          <w:sz w:val="26"/>
          <w:szCs w:val="26"/>
        </w:rPr>
        <w:t>It is not necessary to prove that the recipient of the benefit was at fault or guilty of wrongdoing in any way, but it must be established that</w:t>
      </w:r>
      <w:r w:rsidR="00C43D7F">
        <w:rPr>
          <w:sz w:val="26"/>
          <w:szCs w:val="26"/>
        </w:rPr>
        <w:t>,</w:t>
      </w:r>
      <w:r w:rsidRPr="002B4430">
        <w:rPr>
          <w:sz w:val="26"/>
          <w:szCs w:val="26"/>
        </w:rPr>
        <w:t xml:space="preserve"> as between the parties</w:t>
      </w:r>
      <w:r w:rsidR="00C43D7F">
        <w:rPr>
          <w:sz w:val="26"/>
          <w:szCs w:val="26"/>
        </w:rPr>
        <w:t>,</w:t>
      </w:r>
      <w:r w:rsidRPr="002B4430">
        <w:rPr>
          <w:sz w:val="26"/>
          <w:szCs w:val="26"/>
        </w:rPr>
        <w:t xml:space="preserve"> it would be unfair for the recipient to retain the benefit without paying the reasonable value of the benefit. </w:t>
      </w:r>
    </w:p>
    <w:p w14:paraId="51763811" w14:textId="77777777" w:rsidR="002B4430" w:rsidRPr="002B4430" w:rsidRDefault="002B4430" w:rsidP="00A97A35">
      <w:pPr>
        <w:spacing w:line="480" w:lineRule="auto"/>
        <w:ind w:firstLine="450"/>
        <w:jc w:val="both"/>
        <w:rPr>
          <w:sz w:val="26"/>
          <w:szCs w:val="26"/>
        </w:rPr>
      </w:pPr>
      <w:r w:rsidRPr="002B4430">
        <w:rPr>
          <w:sz w:val="26"/>
          <w:szCs w:val="26"/>
        </w:rPr>
        <w:t>A benefit to the defendant may be (services rendered for (</w:t>
      </w:r>
      <w:r w:rsidRPr="002B4430">
        <w:rPr>
          <w:sz w:val="26"/>
          <w:szCs w:val="26"/>
          <w:u w:val="single"/>
        </w:rPr>
        <w:t>defendant</w:t>
      </w:r>
      <w:r w:rsidRPr="002B4430">
        <w:rPr>
          <w:sz w:val="26"/>
          <w:szCs w:val="26"/>
        </w:rPr>
        <w:t>)) (goods or merchandise received by (</w:t>
      </w:r>
      <w:r w:rsidRPr="002B4430">
        <w:rPr>
          <w:sz w:val="26"/>
          <w:szCs w:val="26"/>
          <w:u w:val="single"/>
        </w:rPr>
        <w:t>defendant</w:t>
      </w:r>
      <w:r w:rsidRPr="002B4430">
        <w:rPr>
          <w:sz w:val="26"/>
          <w:szCs w:val="26"/>
        </w:rPr>
        <w:t>)) (improvements to (</w:t>
      </w:r>
      <w:r w:rsidRPr="002B4430">
        <w:rPr>
          <w:sz w:val="26"/>
          <w:szCs w:val="26"/>
          <w:u w:val="single"/>
        </w:rPr>
        <w:t>defendant</w:t>
      </w:r>
      <w:r w:rsidRPr="002B4430">
        <w:rPr>
          <w:sz w:val="26"/>
          <w:szCs w:val="26"/>
        </w:rPr>
        <w:t>)’s real estate) (money paid to (</w:t>
      </w:r>
      <w:r w:rsidRPr="002B4430">
        <w:rPr>
          <w:sz w:val="26"/>
          <w:szCs w:val="26"/>
          <w:u w:val="single"/>
        </w:rPr>
        <w:t>defendant</w:t>
      </w:r>
      <w:r w:rsidRPr="002B4430">
        <w:rPr>
          <w:sz w:val="26"/>
          <w:szCs w:val="26"/>
        </w:rPr>
        <w:t>) or someone else on (</w:t>
      </w:r>
      <w:r w:rsidRPr="002B4430">
        <w:rPr>
          <w:sz w:val="26"/>
          <w:szCs w:val="26"/>
          <w:u w:val="single"/>
        </w:rPr>
        <w:t>defendant</w:t>
      </w:r>
      <w:r w:rsidRPr="002B4430">
        <w:rPr>
          <w:sz w:val="26"/>
          <w:szCs w:val="26"/>
        </w:rPr>
        <w:t>)’s behalf).</w:t>
      </w:r>
    </w:p>
    <w:p w14:paraId="3F51D77E" w14:textId="77777777" w:rsidR="002B4430" w:rsidRPr="002B4430" w:rsidRDefault="002B4430" w:rsidP="00A97A35">
      <w:pPr>
        <w:spacing w:line="480" w:lineRule="auto"/>
        <w:ind w:firstLine="450"/>
        <w:jc w:val="both"/>
        <w:rPr>
          <w:sz w:val="26"/>
          <w:szCs w:val="26"/>
        </w:rPr>
      </w:pPr>
      <w:r w:rsidRPr="002B4430">
        <w:rPr>
          <w:sz w:val="26"/>
          <w:szCs w:val="26"/>
        </w:rPr>
        <w:t>A loss to the plaintiff without an actual benefit to the defendant is not recoverable as unjust enrichment.</w:t>
      </w:r>
    </w:p>
    <w:p w14:paraId="41C4C528" w14:textId="77777777" w:rsidR="002B4430" w:rsidRPr="002B4430" w:rsidRDefault="002B4430" w:rsidP="00A97A35">
      <w:pPr>
        <w:spacing w:line="480" w:lineRule="auto"/>
        <w:ind w:firstLine="450"/>
        <w:jc w:val="both"/>
        <w:rPr>
          <w:sz w:val="26"/>
          <w:szCs w:val="26"/>
        </w:rPr>
      </w:pPr>
      <w:r w:rsidRPr="002B4430">
        <w:rPr>
          <w:sz w:val="26"/>
          <w:szCs w:val="26"/>
        </w:rPr>
        <w:t>If a person declines in advance a benefit to be conferred by another, then the person conferring the benefit may not recover for unjust enrichment.</w:t>
      </w:r>
    </w:p>
    <w:p w14:paraId="34CC54D7" w14:textId="77777777" w:rsidR="002B4430" w:rsidRPr="002B4430" w:rsidRDefault="002B4430" w:rsidP="00A97A35">
      <w:pPr>
        <w:spacing w:line="480" w:lineRule="auto"/>
        <w:ind w:firstLine="450"/>
        <w:jc w:val="both"/>
        <w:rPr>
          <w:sz w:val="26"/>
          <w:szCs w:val="26"/>
        </w:rPr>
      </w:pPr>
      <w:r w:rsidRPr="002B4430">
        <w:rPr>
          <w:sz w:val="26"/>
          <w:szCs w:val="26"/>
        </w:rPr>
        <w:t>[It is not a defense to the action that (</w:t>
      </w:r>
      <w:r w:rsidRPr="002B4430">
        <w:rPr>
          <w:sz w:val="26"/>
          <w:szCs w:val="26"/>
          <w:u w:val="single"/>
        </w:rPr>
        <w:t>defendant</w:t>
      </w:r>
      <w:r w:rsidRPr="002B4430">
        <w:rPr>
          <w:sz w:val="26"/>
          <w:szCs w:val="26"/>
        </w:rPr>
        <w:t>) is a minor or otherwise incompetent to make a contract, but a minor may show that in equity and good conscience, (</w:t>
      </w:r>
      <w:r w:rsidRPr="002B4430">
        <w:rPr>
          <w:sz w:val="26"/>
          <w:szCs w:val="26"/>
          <w:u w:val="single"/>
        </w:rPr>
        <w:t>plaintiff</w:t>
      </w:r>
      <w:r w:rsidRPr="002B4430">
        <w:rPr>
          <w:sz w:val="26"/>
          <w:szCs w:val="26"/>
        </w:rPr>
        <w:t xml:space="preserve">) is </w:t>
      </w:r>
      <w:r w:rsidRPr="002B4430">
        <w:rPr>
          <w:sz w:val="26"/>
          <w:szCs w:val="26"/>
        </w:rPr>
        <w:lastRenderedPageBreak/>
        <w:t>not entitled to recover in whole or in part.]</w:t>
      </w:r>
    </w:p>
    <w:p w14:paraId="1DDF969F" w14:textId="244AD95C" w:rsidR="002B4430" w:rsidRPr="002B4430" w:rsidRDefault="002B4430" w:rsidP="00A97A35">
      <w:pPr>
        <w:spacing w:line="480" w:lineRule="auto"/>
        <w:ind w:firstLine="450"/>
        <w:jc w:val="both"/>
        <w:rPr>
          <w:sz w:val="26"/>
          <w:szCs w:val="26"/>
        </w:rPr>
      </w:pPr>
      <w:r w:rsidRPr="002B4430">
        <w:rPr>
          <w:sz w:val="26"/>
          <w:szCs w:val="26"/>
        </w:rPr>
        <w:t>[In this case, (</w:t>
      </w:r>
      <w:r w:rsidRPr="00A97A35">
        <w:rPr>
          <w:sz w:val="26"/>
          <w:szCs w:val="26"/>
          <w:u w:val="single"/>
        </w:rPr>
        <w:t>plaintiff</w:t>
      </w:r>
      <w:r w:rsidRPr="002B4430">
        <w:rPr>
          <w:sz w:val="26"/>
          <w:szCs w:val="26"/>
        </w:rPr>
        <w:t>) has alleged fault or wrongdoing on the part of (</w:t>
      </w:r>
      <w:r w:rsidRPr="002B4430">
        <w:rPr>
          <w:sz w:val="26"/>
          <w:szCs w:val="26"/>
          <w:u w:val="single"/>
        </w:rPr>
        <w:t>defendant</w:t>
      </w:r>
      <w:r w:rsidRPr="002B4430">
        <w:rPr>
          <w:sz w:val="26"/>
          <w:szCs w:val="26"/>
        </w:rPr>
        <w:t>) (fraud) (duress) (nonperformance or breach of contract)</w:t>
      </w:r>
      <w:r w:rsidR="00C43D7F">
        <w:rPr>
          <w:sz w:val="26"/>
          <w:szCs w:val="26"/>
        </w:rPr>
        <w:t>,</w:t>
      </w:r>
      <w:r w:rsidRPr="002B4430">
        <w:rPr>
          <w:sz w:val="26"/>
          <w:szCs w:val="26"/>
        </w:rPr>
        <w:t xml:space="preserve"> which is elsewhere in these</w:t>
      </w:r>
      <w:r w:rsidR="00C43D7F">
        <w:rPr>
          <w:sz w:val="26"/>
          <w:szCs w:val="26"/>
        </w:rPr>
        <w:t xml:space="preserve"> instructions defined for you. </w:t>
      </w:r>
      <w:r w:rsidRPr="002B4430">
        <w:rPr>
          <w:sz w:val="26"/>
          <w:szCs w:val="26"/>
        </w:rPr>
        <w:t>The burden of proof is on (</w:t>
      </w:r>
      <w:r w:rsidRPr="002B4430">
        <w:rPr>
          <w:sz w:val="26"/>
          <w:szCs w:val="26"/>
          <w:u w:val="single"/>
        </w:rPr>
        <w:t>plaintiff</w:t>
      </w:r>
      <w:r w:rsidRPr="002B4430">
        <w:rPr>
          <w:sz w:val="26"/>
          <w:szCs w:val="26"/>
        </w:rPr>
        <w:t>) to establish wrongdoing by (</w:t>
      </w:r>
      <w:r w:rsidRPr="00A97A35">
        <w:rPr>
          <w:sz w:val="26"/>
          <w:szCs w:val="26"/>
          <w:u w:val="single"/>
        </w:rPr>
        <w:t>defendant</w:t>
      </w:r>
      <w:r w:rsidRPr="002B4430">
        <w:rPr>
          <w:sz w:val="26"/>
          <w:szCs w:val="26"/>
        </w:rPr>
        <w:t>).]</w:t>
      </w:r>
    </w:p>
    <w:p w14:paraId="25A2156D" w14:textId="46EE240F" w:rsidR="002B4430" w:rsidRDefault="002B4430" w:rsidP="00A97A35">
      <w:pPr>
        <w:jc w:val="both"/>
        <w:rPr>
          <w:sz w:val="26"/>
          <w:szCs w:val="26"/>
        </w:rPr>
      </w:pPr>
    </w:p>
    <w:p w14:paraId="38EA26EC" w14:textId="77777777" w:rsidR="00A97A35" w:rsidRPr="00A97A35" w:rsidRDefault="00A97A35" w:rsidP="00A97A35">
      <w:pPr>
        <w:jc w:val="both"/>
        <w:rPr>
          <w:sz w:val="26"/>
          <w:szCs w:val="26"/>
        </w:rPr>
      </w:pPr>
    </w:p>
    <w:p w14:paraId="3BB1DCCF" w14:textId="6780103D" w:rsidR="00A97AC5" w:rsidRPr="00C43D7F" w:rsidRDefault="00A97AC5" w:rsidP="00B502CD">
      <w:pPr>
        <w:widowControl/>
        <w:autoSpaceDE/>
        <w:autoSpaceDN/>
        <w:adjustRightInd/>
        <w:spacing w:after="160" w:line="259" w:lineRule="auto"/>
        <w:ind w:firstLine="450"/>
        <w:jc w:val="both"/>
        <w:rPr>
          <w:rFonts w:eastAsiaTheme="minorHAnsi"/>
          <w:sz w:val="22"/>
          <w:szCs w:val="22"/>
        </w:rPr>
      </w:pPr>
      <w:bookmarkStart w:id="0" w:name="_GoBack"/>
      <w:bookmarkEnd w:id="0"/>
    </w:p>
    <w:sectPr w:rsidR="00A97AC5" w:rsidRPr="00C43D7F" w:rsidSect="001F7B1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8A592" w14:textId="77777777" w:rsidR="002B4430" w:rsidRDefault="002B4430" w:rsidP="002B4430">
      <w:r>
        <w:separator/>
      </w:r>
    </w:p>
  </w:endnote>
  <w:endnote w:type="continuationSeparator" w:id="0">
    <w:p w14:paraId="6D9C5BBC" w14:textId="77777777" w:rsidR="002B4430" w:rsidRDefault="002B4430" w:rsidP="002B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2420" w14:textId="77777777" w:rsidR="00D34507" w:rsidRDefault="00D34507" w:rsidP="002B4430">
    <w:pPr>
      <w:pStyle w:val="Footer"/>
      <w:jc w:val="both"/>
      <w:rPr>
        <w:rFonts w:ascii="Arial" w:hAnsi="Arial" w:cs="Arial"/>
        <w:sz w:val="20"/>
        <w:szCs w:val="20"/>
      </w:rPr>
    </w:pPr>
  </w:p>
  <w:p w14:paraId="4008906D" w14:textId="1B10A70B" w:rsidR="002B4430" w:rsidRPr="002B4430" w:rsidRDefault="002B4430" w:rsidP="002B4430">
    <w:pPr>
      <w:pStyle w:val="Footer"/>
      <w:jc w:val="both"/>
      <w:rPr>
        <w:rFonts w:ascii="Arial" w:hAnsi="Arial" w:cs="Arial"/>
        <w:sz w:val="20"/>
        <w:szCs w:val="20"/>
      </w:rPr>
    </w:pPr>
    <w:r w:rsidRPr="002B4430">
      <w:rPr>
        <w:rFonts w:ascii="Arial" w:hAnsi="Arial" w:cs="Arial"/>
        <w:sz w:val="20"/>
        <w:szCs w:val="20"/>
      </w:rPr>
      <w:t>Wisconsin C</w:t>
    </w:r>
    <w:r w:rsidR="0056102C">
      <w:rPr>
        <w:rFonts w:ascii="Arial" w:hAnsi="Arial" w:cs="Arial"/>
        <w:sz w:val="20"/>
        <w:szCs w:val="20"/>
      </w:rPr>
      <w:t xml:space="preserve">ourt </w:t>
    </w:r>
    <w:r w:rsidR="00D34507">
      <w:rPr>
        <w:rFonts w:ascii="Arial" w:hAnsi="Arial" w:cs="Arial"/>
        <w:sz w:val="20"/>
        <w:szCs w:val="20"/>
      </w:rPr>
      <w:t xml:space="preserve">System, </w:t>
    </w:r>
    <w:r w:rsidR="004E2376">
      <w:rPr>
        <w:rFonts w:ascii="Arial" w:hAnsi="Arial" w:cs="Arial"/>
        <w:sz w:val="20"/>
        <w:szCs w:val="20"/>
      </w:rPr>
      <w:t>7/2023</w:t>
    </w:r>
    <w:r w:rsidR="004E2376">
      <w:rPr>
        <w:rFonts w:ascii="Arial" w:hAnsi="Arial" w:cs="Arial"/>
        <w:sz w:val="20"/>
        <w:szCs w:val="20"/>
      </w:rPr>
      <w:tab/>
    </w:r>
    <w:r w:rsidR="004E2376">
      <w:rPr>
        <w:rFonts w:ascii="Arial" w:hAnsi="Arial" w:cs="Arial"/>
        <w:sz w:val="20"/>
        <w:szCs w:val="20"/>
      </w:rPr>
      <w:tab/>
      <w:t>(Release No. 55</w:t>
    </w:r>
    <w:r w:rsidRPr="002B4430">
      <w:rPr>
        <w:rFonts w:ascii="Arial" w:hAnsi="Arial" w:cs="Arial"/>
        <w:sz w:val="20"/>
        <w:szCs w:val="20"/>
      </w:rPr>
      <w:t>)</w:t>
    </w:r>
  </w:p>
  <w:p w14:paraId="23998F06" w14:textId="37E842DA" w:rsidR="002B4430" w:rsidRPr="002B4430" w:rsidRDefault="00677883">
    <w:pPr>
      <w:pStyle w:val="Footer"/>
      <w:jc w:val="center"/>
      <w:rPr>
        <w:rFonts w:ascii="Arial" w:hAnsi="Arial" w:cs="Arial"/>
        <w:sz w:val="20"/>
        <w:szCs w:val="20"/>
      </w:rPr>
    </w:pPr>
    <w:sdt>
      <w:sdtPr>
        <w:rPr>
          <w:rFonts w:ascii="Arial" w:hAnsi="Arial" w:cs="Arial"/>
          <w:sz w:val="20"/>
          <w:szCs w:val="20"/>
        </w:rPr>
        <w:id w:val="-1713564827"/>
        <w:docPartObj>
          <w:docPartGallery w:val="Page Numbers (Bottom of Page)"/>
          <w:docPartUnique/>
        </w:docPartObj>
      </w:sdtPr>
      <w:sdtEndPr>
        <w:rPr>
          <w:noProof/>
        </w:rPr>
      </w:sdtEndPr>
      <w:sdtContent>
        <w:r w:rsidR="002B4430" w:rsidRPr="002B4430">
          <w:rPr>
            <w:rFonts w:ascii="Arial" w:hAnsi="Arial" w:cs="Arial"/>
            <w:sz w:val="20"/>
            <w:szCs w:val="20"/>
          </w:rPr>
          <w:fldChar w:fldCharType="begin"/>
        </w:r>
        <w:r w:rsidR="002B4430" w:rsidRPr="002B4430">
          <w:rPr>
            <w:rFonts w:ascii="Arial" w:hAnsi="Arial" w:cs="Arial"/>
            <w:sz w:val="20"/>
            <w:szCs w:val="20"/>
          </w:rPr>
          <w:instrText xml:space="preserve"> PAGE   \* MERGEFORMAT </w:instrText>
        </w:r>
        <w:r w:rsidR="002B4430" w:rsidRPr="002B4430">
          <w:rPr>
            <w:rFonts w:ascii="Arial" w:hAnsi="Arial" w:cs="Arial"/>
            <w:sz w:val="20"/>
            <w:szCs w:val="20"/>
          </w:rPr>
          <w:fldChar w:fldCharType="separate"/>
        </w:r>
        <w:r>
          <w:rPr>
            <w:rFonts w:ascii="Arial" w:hAnsi="Arial" w:cs="Arial"/>
            <w:noProof/>
            <w:sz w:val="20"/>
            <w:szCs w:val="20"/>
          </w:rPr>
          <w:t>1</w:t>
        </w:r>
        <w:r w:rsidR="002B4430" w:rsidRPr="002B4430">
          <w:rPr>
            <w:rFonts w:ascii="Arial" w:hAnsi="Arial" w:cs="Arial"/>
            <w:noProof/>
            <w:sz w:val="20"/>
            <w:szCs w:val="20"/>
          </w:rPr>
          <w:fldChar w:fldCharType="end"/>
        </w:r>
      </w:sdtContent>
    </w:sdt>
  </w:p>
  <w:p w14:paraId="5510A275" w14:textId="77777777" w:rsidR="002B4430" w:rsidRDefault="002B4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D8510" w14:textId="77777777" w:rsidR="002B4430" w:rsidRDefault="002B4430" w:rsidP="002B4430">
      <w:r>
        <w:separator/>
      </w:r>
    </w:p>
  </w:footnote>
  <w:footnote w:type="continuationSeparator" w:id="0">
    <w:p w14:paraId="365A91FC" w14:textId="77777777" w:rsidR="002B4430" w:rsidRDefault="002B4430" w:rsidP="002B4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612F0" w14:textId="77777777" w:rsidR="002B4430" w:rsidRDefault="002B4430" w:rsidP="002B4430">
    <w:pPr>
      <w:tabs>
        <w:tab w:val="center" w:pos="4680"/>
        <w:tab w:val="right" w:pos="9360"/>
      </w:tabs>
      <w:jc w:val="both"/>
      <w:rPr>
        <w:rFonts w:ascii="Arial" w:hAnsi="Arial" w:cs="Arial"/>
        <w:b/>
        <w:bCs/>
        <w:sz w:val="28"/>
        <w:szCs w:val="28"/>
      </w:rPr>
    </w:pPr>
  </w:p>
  <w:p w14:paraId="2AC17A6C" w14:textId="77777777" w:rsidR="002B4430" w:rsidRPr="002B4430" w:rsidRDefault="002B4430" w:rsidP="002B4430">
    <w:pPr>
      <w:tabs>
        <w:tab w:val="center" w:pos="4680"/>
        <w:tab w:val="right" w:pos="9360"/>
      </w:tabs>
      <w:jc w:val="both"/>
      <w:rPr>
        <w:rFonts w:ascii="Arial" w:hAnsi="Arial" w:cs="Arial"/>
        <w:sz w:val="28"/>
        <w:szCs w:val="28"/>
      </w:rPr>
    </w:pPr>
    <w:r w:rsidRPr="002B4430">
      <w:rPr>
        <w:rFonts w:ascii="Arial" w:hAnsi="Arial" w:cs="Arial"/>
        <w:b/>
        <w:bCs/>
        <w:sz w:val="28"/>
        <w:szCs w:val="28"/>
      </w:rPr>
      <w:t>3028</w:t>
    </w:r>
    <w:r w:rsidRPr="002B4430">
      <w:rPr>
        <w:rFonts w:ascii="Arial" w:hAnsi="Arial" w:cs="Arial"/>
        <w:b/>
        <w:bCs/>
        <w:sz w:val="28"/>
        <w:szCs w:val="28"/>
      </w:rPr>
      <w:tab/>
      <w:t>WIS JI</w:t>
    </w:r>
    <w:r w:rsidRPr="002B4430">
      <w:rPr>
        <w:rFonts w:ascii="Arial" w:hAnsi="Arial" w:cs="Arial"/>
        <w:b/>
        <w:bCs/>
        <w:sz w:val="28"/>
        <w:szCs w:val="28"/>
      </w:rPr>
      <w:noBreakHyphen/>
      <w:t>CIVIL</w:t>
    </w:r>
    <w:r w:rsidRPr="002B4430">
      <w:rPr>
        <w:rFonts w:ascii="Arial" w:hAnsi="Arial" w:cs="Arial"/>
        <w:b/>
        <w:bCs/>
        <w:sz w:val="28"/>
        <w:szCs w:val="28"/>
      </w:rPr>
      <w:tab/>
      <w:t>3028</w:t>
    </w:r>
  </w:p>
  <w:p w14:paraId="3257404D" w14:textId="7EB39F53" w:rsidR="002B4430" w:rsidRDefault="002B4430">
    <w:pPr>
      <w:pStyle w:val="Header"/>
      <w:rPr>
        <w:rFonts w:ascii="Times New Roman" w:hAnsi="Times New Roman" w:cs="Times New Roman"/>
        <w:sz w:val="28"/>
        <w:szCs w:val="28"/>
      </w:rPr>
    </w:pPr>
  </w:p>
  <w:p w14:paraId="4BF43A3F" w14:textId="3BBA09E3" w:rsidR="00A97A35" w:rsidRDefault="00A97A35">
    <w:pPr>
      <w:pStyle w:val="Header"/>
      <w:rPr>
        <w:rFonts w:ascii="Times New Roman" w:hAnsi="Times New Roman" w:cs="Times New Roman"/>
        <w:sz w:val="28"/>
        <w:szCs w:val="28"/>
      </w:rPr>
    </w:pPr>
  </w:p>
  <w:p w14:paraId="6B1A2DF1" w14:textId="77777777" w:rsidR="00A97A35" w:rsidRDefault="00A97A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30"/>
    <w:rsid w:val="00014867"/>
    <w:rsid w:val="00055CDD"/>
    <w:rsid w:val="000636C2"/>
    <w:rsid w:val="00096D2A"/>
    <w:rsid w:val="00107656"/>
    <w:rsid w:val="00122CFD"/>
    <w:rsid w:val="0018764F"/>
    <w:rsid w:val="0019343D"/>
    <w:rsid w:val="001B6B2C"/>
    <w:rsid w:val="001C2D31"/>
    <w:rsid w:val="001F7B1F"/>
    <w:rsid w:val="00295EF8"/>
    <w:rsid w:val="00297277"/>
    <w:rsid w:val="002B4430"/>
    <w:rsid w:val="002C6033"/>
    <w:rsid w:val="002F2016"/>
    <w:rsid w:val="003935A7"/>
    <w:rsid w:val="003C6A89"/>
    <w:rsid w:val="003D46AD"/>
    <w:rsid w:val="004074B3"/>
    <w:rsid w:val="004337C9"/>
    <w:rsid w:val="004E2376"/>
    <w:rsid w:val="0056102C"/>
    <w:rsid w:val="00563B4B"/>
    <w:rsid w:val="00572BAA"/>
    <w:rsid w:val="005A2FE1"/>
    <w:rsid w:val="005C505D"/>
    <w:rsid w:val="00646576"/>
    <w:rsid w:val="006704BE"/>
    <w:rsid w:val="00675E47"/>
    <w:rsid w:val="00677883"/>
    <w:rsid w:val="00691DF6"/>
    <w:rsid w:val="006E5CB3"/>
    <w:rsid w:val="006F6B1F"/>
    <w:rsid w:val="007B0D2D"/>
    <w:rsid w:val="007B5446"/>
    <w:rsid w:val="007D688A"/>
    <w:rsid w:val="00804689"/>
    <w:rsid w:val="00815EC8"/>
    <w:rsid w:val="00837F8A"/>
    <w:rsid w:val="00863E64"/>
    <w:rsid w:val="0088321E"/>
    <w:rsid w:val="008B4824"/>
    <w:rsid w:val="009248F7"/>
    <w:rsid w:val="00930D1B"/>
    <w:rsid w:val="00986839"/>
    <w:rsid w:val="00996FA0"/>
    <w:rsid w:val="009F255A"/>
    <w:rsid w:val="00A65E19"/>
    <w:rsid w:val="00A91EB1"/>
    <w:rsid w:val="00A97A35"/>
    <w:rsid w:val="00A97AC5"/>
    <w:rsid w:val="00AC588F"/>
    <w:rsid w:val="00B146D4"/>
    <w:rsid w:val="00B502CD"/>
    <w:rsid w:val="00C43D7F"/>
    <w:rsid w:val="00CE3DAE"/>
    <w:rsid w:val="00D018AE"/>
    <w:rsid w:val="00D10DDA"/>
    <w:rsid w:val="00D34507"/>
    <w:rsid w:val="00D35760"/>
    <w:rsid w:val="00DC1B82"/>
    <w:rsid w:val="00E017A8"/>
    <w:rsid w:val="00E67404"/>
    <w:rsid w:val="00EB2969"/>
    <w:rsid w:val="00EC5A2C"/>
    <w:rsid w:val="00EF0145"/>
    <w:rsid w:val="00F04409"/>
    <w:rsid w:val="00F61390"/>
    <w:rsid w:val="00F63EE9"/>
    <w:rsid w:val="00F6601F"/>
    <w:rsid w:val="00F67C10"/>
    <w:rsid w:val="00FA0DDC"/>
    <w:rsid w:val="00FE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FB70"/>
  <w15:chartTrackingRefBased/>
  <w15:docId w15:val="{84698D9D-2DF0-41D1-B7D3-07683023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4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43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B4430"/>
  </w:style>
  <w:style w:type="paragraph" w:styleId="Footer">
    <w:name w:val="footer"/>
    <w:basedOn w:val="Normal"/>
    <w:link w:val="FooterChar"/>
    <w:uiPriority w:val="99"/>
    <w:unhideWhenUsed/>
    <w:rsid w:val="002B4430"/>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B4430"/>
  </w:style>
  <w:style w:type="character" w:styleId="CommentReference">
    <w:name w:val="annotation reference"/>
    <w:basedOn w:val="DefaultParagraphFont"/>
    <w:uiPriority w:val="99"/>
    <w:semiHidden/>
    <w:unhideWhenUsed/>
    <w:rsid w:val="006F6B1F"/>
    <w:rPr>
      <w:sz w:val="16"/>
      <w:szCs w:val="16"/>
    </w:rPr>
  </w:style>
  <w:style w:type="paragraph" w:styleId="CommentText">
    <w:name w:val="annotation text"/>
    <w:basedOn w:val="Normal"/>
    <w:link w:val="CommentTextChar"/>
    <w:uiPriority w:val="99"/>
    <w:semiHidden/>
    <w:unhideWhenUsed/>
    <w:rsid w:val="006F6B1F"/>
    <w:rPr>
      <w:sz w:val="20"/>
      <w:szCs w:val="20"/>
    </w:rPr>
  </w:style>
  <w:style w:type="character" w:customStyle="1" w:styleId="CommentTextChar">
    <w:name w:val="Comment Text Char"/>
    <w:basedOn w:val="DefaultParagraphFont"/>
    <w:link w:val="CommentText"/>
    <w:uiPriority w:val="99"/>
    <w:semiHidden/>
    <w:rsid w:val="006F6B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6B1F"/>
    <w:rPr>
      <w:b/>
      <w:bCs/>
    </w:rPr>
  </w:style>
  <w:style w:type="character" w:customStyle="1" w:styleId="CommentSubjectChar">
    <w:name w:val="Comment Subject Char"/>
    <w:basedOn w:val="CommentTextChar"/>
    <w:link w:val="CommentSubject"/>
    <w:uiPriority w:val="99"/>
    <w:semiHidden/>
    <w:rsid w:val="006F6B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B1F"/>
    <w:rPr>
      <w:rFonts w:ascii="Segoe UI" w:eastAsia="Times New Roman" w:hAnsi="Segoe UI" w:cs="Segoe UI"/>
      <w:sz w:val="18"/>
      <w:szCs w:val="18"/>
    </w:rPr>
  </w:style>
  <w:style w:type="character" w:styleId="Strong">
    <w:name w:val="Strong"/>
    <w:basedOn w:val="DefaultParagraphFont"/>
    <w:uiPriority w:val="22"/>
    <w:qFormat/>
    <w:rsid w:val="006F6B1F"/>
    <w:rPr>
      <w:b/>
      <w:bCs/>
    </w:rPr>
  </w:style>
  <w:style w:type="paragraph" w:styleId="NoSpacing">
    <w:name w:val="No Spacing"/>
    <w:uiPriority w:val="1"/>
    <w:qFormat/>
    <w:rsid w:val="009F25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50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Pierson</dc:creator>
  <cp:keywords/>
  <dc:description/>
  <cp:lastModifiedBy>Bryce Pierson</cp:lastModifiedBy>
  <cp:revision>2</cp:revision>
  <dcterms:created xsi:type="dcterms:W3CDTF">2023-06-20T16:37:00Z</dcterms:created>
  <dcterms:modified xsi:type="dcterms:W3CDTF">2023-06-20T16:37:00Z</dcterms:modified>
</cp:coreProperties>
</file>