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6F010" w14:textId="77777777" w:rsidR="004B6248" w:rsidRPr="00054D5E" w:rsidRDefault="004B6248" w:rsidP="004B6248">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rPr>
          <w:sz w:val="26"/>
          <w:szCs w:val="26"/>
        </w:rPr>
      </w:pPr>
      <w:r w:rsidRPr="00054D5E">
        <w:rPr>
          <w:b/>
          <w:bCs/>
          <w:sz w:val="26"/>
          <w:szCs w:val="26"/>
        </w:rPr>
        <w:t>185</w:t>
      </w:r>
      <w:r w:rsidRPr="00054D5E">
        <w:rPr>
          <w:b/>
          <w:bCs/>
          <w:sz w:val="26"/>
          <w:szCs w:val="26"/>
        </w:rPr>
        <w:tab/>
        <w:t>FIVE</w:t>
      </w:r>
      <w:r w:rsidRPr="00054D5E">
        <w:rPr>
          <w:b/>
          <w:bCs/>
          <w:sz w:val="26"/>
          <w:szCs w:val="26"/>
        </w:rPr>
        <w:noBreakHyphen/>
        <w:t>SIXTHS VERDICT</w:t>
      </w:r>
    </w:p>
    <w:p w14:paraId="4DA4872E" w14:textId="77777777" w:rsidR="00E91A70" w:rsidRPr="00054D5E" w:rsidRDefault="00E91A70" w:rsidP="004B6248">
      <w:pPr>
        <w:pStyle w:val="NoSpacing"/>
        <w:rPr>
          <w:sz w:val="26"/>
          <w:szCs w:val="26"/>
        </w:rPr>
      </w:pPr>
    </w:p>
    <w:p w14:paraId="7606CD5B" w14:textId="77777777" w:rsidR="00F7454B" w:rsidRPr="00054D5E" w:rsidRDefault="00F7454B" w:rsidP="004B6248">
      <w:pPr>
        <w:pStyle w:val="NoSpacing"/>
        <w:rPr>
          <w:sz w:val="26"/>
          <w:szCs w:val="26"/>
        </w:rPr>
      </w:pPr>
    </w:p>
    <w:p w14:paraId="2BA2C81D" w14:textId="6D74743E" w:rsidR="00371BC9" w:rsidRPr="00054D5E" w:rsidRDefault="004B6248" w:rsidP="00054D5E">
      <w:pPr>
        <w:pStyle w:val="NoSpacing"/>
        <w:spacing w:line="480" w:lineRule="auto"/>
        <w:ind w:firstLine="450"/>
        <w:jc w:val="both"/>
        <w:rPr>
          <w:sz w:val="26"/>
          <w:szCs w:val="26"/>
        </w:rPr>
      </w:pPr>
      <w:r w:rsidRPr="00054D5E">
        <w:rPr>
          <w:sz w:val="26"/>
          <w:szCs w:val="26"/>
        </w:rPr>
        <w:t>Agreement by ten (five) or more jurors is sufficient to become your verdict. Jurors have a duty to consult with one another and deliberate for the purpose of reaching agreement. If you can do so consistently with your duty as a juror, at least the same ten (five) jurors should agree in all the answers</w:t>
      </w:r>
      <w:r w:rsidR="00AB45BF" w:rsidRPr="00054D5E">
        <w:rPr>
          <w:sz w:val="26"/>
          <w:szCs w:val="26"/>
        </w:rPr>
        <w:t xml:space="preserve"> [necessary to decide the same </w:t>
      </w:r>
      <w:r w:rsidR="00AF5A68" w:rsidRPr="00054D5E">
        <w:rPr>
          <w:sz w:val="26"/>
          <w:szCs w:val="26"/>
        </w:rPr>
        <w:t>(</w:t>
      </w:r>
      <w:r w:rsidR="00AB45BF" w:rsidRPr="00054D5E">
        <w:rPr>
          <w:sz w:val="26"/>
          <w:szCs w:val="26"/>
        </w:rPr>
        <w:t>claim</w:t>
      </w:r>
      <w:r w:rsidR="00AF5A68" w:rsidRPr="00054D5E">
        <w:rPr>
          <w:sz w:val="26"/>
          <w:szCs w:val="26"/>
        </w:rPr>
        <w:t>) (ground)</w:t>
      </w:r>
      <w:r w:rsidR="00AB45BF" w:rsidRPr="00054D5E">
        <w:rPr>
          <w:sz w:val="26"/>
          <w:szCs w:val="26"/>
        </w:rPr>
        <w:t>]</w:t>
      </w:r>
      <w:r w:rsidR="00AB45BF" w:rsidRPr="00054D5E">
        <w:rPr>
          <w:rStyle w:val="EndnoteReference"/>
          <w:sz w:val="26"/>
          <w:szCs w:val="26"/>
        </w:rPr>
        <w:endnoteReference w:id="1"/>
      </w:r>
      <w:r w:rsidRPr="00054D5E">
        <w:rPr>
          <w:sz w:val="26"/>
          <w:szCs w:val="26"/>
        </w:rPr>
        <w:t>. I ask you to be unanimous if you can.</w:t>
      </w:r>
    </w:p>
    <w:p w14:paraId="764E3DF6" w14:textId="77777777" w:rsidR="004B6248" w:rsidRPr="00054D5E" w:rsidRDefault="004B6248" w:rsidP="004B6248">
      <w:pPr>
        <w:pStyle w:val="NoSpacing"/>
        <w:spacing w:line="480" w:lineRule="auto"/>
        <w:ind w:firstLine="450"/>
        <w:jc w:val="both"/>
        <w:rPr>
          <w:sz w:val="26"/>
          <w:szCs w:val="26"/>
        </w:rPr>
      </w:pPr>
      <w:r w:rsidRPr="00054D5E">
        <w:rPr>
          <w:sz w:val="26"/>
          <w:szCs w:val="26"/>
        </w:rPr>
        <w:t>At the bottom of the verdict, you will find a place provided where dissenting jurors, if there be any, will sign their names and state the answer or answers (the number of the verdict question(s)) with which they do not agree. Either the blank lines or the space below them may be used for that purpose.</w:t>
      </w:r>
    </w:p>
    <w:p w14:paraId="32ABFF27" w14:textId="77777777" w:rsidR="004B6248" w:rsidRPr="00054D5E" w:rsidRDefault="004B6248" w:rsidP="004B6248">
      <w:pPr>
        <w:pStyle w:val="NoSpacing"/>
        <w:jc w:val="both"/>
        <w:rPr>
          <w:sz w:val="26"/>
          <w:szCs w:val="26"/>
        </w:rPr>
      </w:pPr>
    </w:p>
    <w:p w14:paraId="0B684D85" w14:textId="77777777" w:rsidR="004B6248" w:rsidRPr="00054D5E" w:rsidRDefault="004B6248" w:rsidP="004B6248">
      <w:pPr>
        <w:pStyle w:val="NoSpacing"/>
        <w:jc w:val="both"/>
        <w:rPr>
          <w:b/>
          <w:bCs/>
          <w:sz w:val="26"/>
          <w:szCs w:val="26"/>
        </w:rPr>
      </w:pPr>
    </w:p>
    <w:p w14:paraId="3B728C55" w14:textId="77777777" w:rsidR="004B6248" w:rsidRPr="00054D5E" w:rsidRDefault="004B6248" w:rsidP="004B6248">
      <w:pPr>
        <w:pStyle w:val="NoSpacing"/>
        <w:jc w:val="both"/>
        <w:rPr>
          <w:b/>
          <w:bCs/>
          <w:sz w:val="26"/>
          <w:szCs w:val="26"/>
        </w:rPr>
      </w:pPr>
    </w:p>
    <w:p w14:paraId="347E6861" w14:textId="77777777" w:rsidR="004B6248" w:rsidRPr="00054D5E" w:rsidRDefault="004B6248" w:rsidP="004B6248">
      <w:pPr>
        <w:pStyle w:val="NoSpacing"/>
        <w:jc w:val="both"/>
        <w:rPr>
          <w:sz w:val="22"/>
          <w:szCs w:val="22"/>
        </w:rPr>
      </w:pPr>
      <w:r w:rsidRPr="00054D5E">
        <w:rPr>
          <w:b/>
          <w:bCs/>
          <w:sz w:val="22"/>
          <w:szCs w:val="22"/>
        </w:rPr>
        <w:t>COMMENT</w:t>
      </w:r>
    </w:p>
    <w:p w14:paraId="7077205C" w14:textId="77777777" w:rsidR="004B6248" w:rsidRPr="00054D5E" w:rsidRDefault="004B6248" w:rsidP="004B6248">
      <w:pPr>
        <w:pStyle w:val="NoSpacing"/>
        <w:jc w:val="both"/>
        <w:rPr>
          <w:sz w:val="22"/>
          <w:szCs w:val="22"/>
        </w:rPr>
      </w:pPr>
    </w:p>
    <w:p w14:paraId="2521626F" w14:textId="4A02E452" w:rsidR="004B6248" w:rsidRPr="00054D5E" w:rsidRDefault="004B6248" w:rsidP="004B6248">
      <w:pPr>
        <w:pStyle w:val="NoSpacing"/>
        <w:ind w:firstLine="450"/>
        <w:jc w:val="both"/>
        <w:rPr>
          <w:sz w:val="22"/>
          <w:szCs w:val="22"/>
        </w:rPr>
      </w:pPr>
      <w:r w:rsidRPr="00054D5E">
        <w:rPr>
          <w:sz w:val="22"/>
          <w:szCs w:val="22"/>
        </w:rPr>
        <w:t>This instruction was approved by the Committee in 2017. It is adapted from Wis JI</w:t>
      </w:r>
      <w:r w:rsidR="004609FC" w:rsidRPr="00054D5E">
        <w:rPr>
          <w:sz w:val="22"/>
          <w:szCs w:val="22"/>
        </w:rPr>
        <w:t>–</w:t>
      </w:r>
      <w:r w:rsidRPr="00054D5E">
        <w:rPr>
          <w:sz w:val="22"/>
          <w:szCs w:val="22"/>
        </w:rPr>
        <w:t>Civil 180.</w:t>
      </w:r>
      <w:r w:rsidR="00D756DA">
        <w:rPr>
          <w:sz w:val="22"/>
          <w:szCs w:val="22"/>
        </w:rPr>
        <w:t xml:space="preserve"> This revision was approved by the Committee in May 2026. It added to the comment. </w:t>
      </w:r>
    </w:p>
    <w:p w14:paraId="0CC9FD4A" w14:textId="77777777" w:rsidR="004B6248" w:rsidRPr="00054D5E" w:rsidRDefault="004B6248" w:rsidP="004B6248">
      <w:pPr>
        <w:pStyle w:val="NoSpacing"/>
        <w:jc w:val="both"/>
        <w:rPr>
          <w:sz w:val="22"/>
          <w:szCs w:val="22"/>
        </w:rPr>
      </w:pPr>
    </w:p>
    <w:p w14:paraId="3C06C5DE" w14:textId="7BCBDAA5" w:rsidR="004B6248" w:rsidRPr="00054D5E" w:rsidRDefault="004B6248" w:rsidP="00F3785A">
      <w:pPr>
        <w:pStyle w:val="NoSpacing"/>
        <w:ind w:firstLine="450"/>
        <w:jc w:val="both"/>
        <w:rPr>
          <w:sz w:val="22"/>
          <w:szCs w:val="22"/>
        </w:rPr>
      </w:pPr>
      <w:r w:rsidRPr="00054D5E">
        <w:rPr>
          <w:b/>
          <w:bCs/>
          <w:sz w:val="22"/>
          <w:szCs w:val="22"/>
        </w:rPr>
        <w:t>Five-Sixths Verdict Rule</w:t>
      </w:r>
      <w:r w:rsidRPr="00054D5E">
        <w:rPr>
          <w:sz w:val="22"/>
          <w:szCs w:val="22"/>
        </w:rPr>
        <w:t xml:space="preserve">. In Wisconsin, the five-sixths rule does not require that the same ten jurors must agree on every question. </w:t>
      </w:r>
      <w:proofErr w:type="spellStart"/>
      <w:r w:rsidRPr="00054D5E">
        <w:rPr>
          <w:rStyle w:val="italics"/>
          <w:i w:val="0"/>
          <w:iCs w:val="0"/>
          <w:sz w:val="22"/>
          <w:szCs w:val="22"/>
          <w:u w:val="single"/>
        </w:rPr>
        <w:t>Nommensen</w:t>
      </w:r>
      <w:proofErr w:type="spellEnd"/>
      <w:r w:rsidRPr="00054D5E">
        <w:rPr>
          <w:rStyle w:val="italics"/>
          <w:i w:val="0"/>
          <w:iCs w:val="0"/>
          <w:sz w:val="22"/>
          <w:szCs w:val="22"/>
          <w:u w:val="single"/>
        </w:rPr>
        <w:t xml:space="preserve"> v. American Continental Ins.</w:t>
      </w:r>
      <w:r w:rsidR="00797B6C">
        <w:rPr>
          <w:rStyle w:val="italics"/>
          <w:i w:val="0"/>
          <w:iCs w:val="0"/>
          <w:sz w:val="22"/>
          <w:szCs w:val="22"/>
          <w:u w:val="single"/>
        </w:rPr>
        <w:t xml:space="preserve"> Co.</w:t>
      </w:r>
      <w:r w:rsidRPr="00054D5E">
        <w:rPr>
          <w:sz w:val="22"/>
          <w:szCs w:val="22"/>
        </w:rPr>
        <w:t>, 2000 WI App 230, 239 Wis. 2d 129, 619 N.W.2d 137. Instead, the rule requires that the same ten jurors must agree on all questions necessary to support a judgment on a particular claim. Prior to 2017, a preliminary instruction (Wis JI</w:t>
      </w:r>
      <w:r w:rsidR="00054D5E">
        <w:rPr>
          <w:sz w:val="22"/>
          <w:szCs w:val="22"/>
        </w:rPr>
        <w:t>–</w:t>
      </w:r>
      <w:r w:rsidRPr="00054D5E">
        <w:rPr>
          <w:sz w:val="22"/>
          <w:szCs w:val="22"/>
        </w:rPr>
        <w:t xml:space="preserve">Children 150) instructed jurors that </w:t>
      </w:r>
      <w:r w:rsidR="00F3785A" w:rsidRPr="00054D5E">
        <w:rPr>
          <w:sz w:val="22"/>
          <w:szCs w:val="22"/>
        </w:rPr>
        <w:t>“</w:t>
      </w:r>
      <w:r w:rsidRPr="00054D5E">
        <w:rPr>
          <w:sz w:val="22"/>
          <w:szCs w:val="22"/>
        </w:rPr>
        <w:t>at least the same ten jurors should agree in all the answers.</w:t>
      </w:r>
      <w:r w:rsidR="00F3785A" w:rsidRPr="00054D5E">
        <w:rPr>
          <w:sz w:val="22"/>
          <w:szCs w:val="22"/>
        </w:rPr>
        <w:t>”</w:t>
      </w:r>
      <w:r w:rsidRPr="00054D5E">
        <w:rPr>
          <w:sz w:val="22"/>
          <w:szCs w:val="22"/>
        </w:rPr>
        <w:t xml:space="preserve"> This language was addressed in a 2016 one-judge opinion of the Wisconsin Court of Appeals, </w:t>
      </w:r>
      <w:r w:rsidRPr="00054D5E">
        <w:rPr>
          <w:rStyle w:val="italics"/>
          <w:i w:val="0"/>
          <w:iCs w:val="0"/>
          <w:sz w:val="22"/>
          <w:szCs w:val="22"/>
          <w:u w:val="single"/>
        </w:rPr>
        <w:t>Racine County Human Services Department v. L.H.</w:t>
      </w:r>
      <w:r w:rsidRPr="00054D5E">
        <w:rPr>
          <w:sz w:val="22"/>
          <w:szCs w:val="22"/>
        </w:rPr>
        <w:t>, Appeal No. 2015AP1872. The court noted that the parties and the trial judge agree</w:t>
      </w:r>
      <w:r w:rsidR="00797B6C">
        <w:rPr>
          <w:sz w:val="22"/>
          <w:szCs w:val="22"/>
        </w:rPr>
        <w:t>d</w:t>
      </w:r>
      <w:r w:rsidRPr="00054D5E">
        <w:rPr>
          <w:sz w:val="22"/>
          <w:szCs w:val="22"/>
        </w:rPr>
        <w:t xml:space="preserve"> that the language in the five-sixths instruction </w:t>
      </w:r>
      <w:r w:rsidR="00F3785A" w:rsidRPr="00054D5E">
        <w:rPr>
          <w:sz w:val="22"/>
          <w:szCs w:val="22"/>
        </w:rPr>
        <w:t>–</w:t>
      </w:r>
      <w:r w:rsidRPr="00054D5E">
        <w:rPr>
          <w:sz w:val="22"/>
          <w:szCs w:val="22"/>
        </w:rPr>
        <w:t xml:space="preserve"> </w:t>
      </w:r>
      <w:r w:rsidR="00F3785A" w:rsidRPr="00054D5E">
        <w:rPr>
          <w:sz w:val="22"/>
          <w:szCs w:val="22"/>
        </w:rPr>
        <w:t>“</w:t>
      </w:r>
      <w:r w:rsidRPr="00054D5E">
        <w:rPr>
          <w:sz w:val="22"/>
          <w:szCs w:val="22"/>
        </w:rPr>
        <w:t>at least the same ten jurors should agree in all the answers</w:t>
      </w:r>
      <w:r w:rsidR="00F3785A" w:rsidRPr="00054D5E">
        <w:rPr>
          <w:sz w:val="22"/>
          <w:szCs w:val="22"/>
        </w:rPr>
        <w:t>”</w:t>
      </w:r>
      <w:r w:rsidRPr="00054D5E">
        <w:rPr>
          <w:sz w:val="22"/>
          <w:szCs w:val="22"/>
        </w:rPr>
        <w:t xml:space="preserve"> </w:t>
      </w:r>
      <w:r w:rsidR="00F3785A" w:rsidRPr="00054D5E">
        <w:rPr>
          <w:sz w:val="22"/>
          <w:szCs w:val="22"/>
        </w:rPr>
        <w:t xml:space="preserve">– </w:t>
      </w:r>
      <w:r w:rsidRPr="00054D5E">
        <w:rPr>
          <w:sz w:val="22"/>
          <w:szCs w:val="22"/>
        </w:rPr>
        <w:t xml:space="preserve">was incorrectly worded for a situation where there is more than one ground alleged for termination. The opinion cited </w:t>
      </w:r>
      <w:r w:rsidRPr="00054D5E">
        <w:rPr>
          <w:rStyle w:val="italics"/>
          <w:i w:val="0"/>
          <w:iCs w:val="0"/>
          <w:sz w:val="22"/>
          <w:szCs w:val="22"/>
          <w:u w:val="single"/>
        </w:rPr>
        <w:t>Waukesha County Department of Social Services v. C.E.W.</w:t>
      </w:r>
      <w:r w:rsidRPr="00054D5E">
        <w:rPr>
          <w:sz w:val="22"/>
          <w:szCs w:val="22"/>
        </w:rPr>
        <w:t>, 124 Wis.</w:t>
      </w:r>
      <w:r w:rsidR="00054D5E">
        <w:rPr>
          <w:sz w:val="22"/>
          <w:szCs w:val="22"/>
        </w:rPr>
        <w:t xml:space="preserve"> </w:t>
      </w:r>
      <w:r w:rsidRPr="00054D5E">
        <w:rPr>
          <w:sz w:val="22"/>
          <w:szCs w:val="22"/>
        </w:rPr>
        <w:t xml:space="preserve">2d 47, 368 N.W.2d 47 (1985), in which the </w:t>
      </w:r>
      <w:r w:rsidR="00612C43">
        <w:rPr>
          <w:sz w:val="22"/>
          <w:szCs w:val="22"/>
        </w:rPr>
        <w:t>S</w:t>
      </w:r>
      <w:r w:rsidRPr="00054D5E">
        <w:rPr>
          <w:sz w:val="22"/>
          <w:szCs w:val="22"/>
        </w:rPr>
        <w:t xml:space="preserve">upreme </w:t>
      </w:r>
      <w:r w:rsidR="00612C43">
        <w:rPr>
          <w:sz w:val="22"/>
          <w:szCs w:val="22"/>
        </w:rPr>
        <w:t>C</w:t>
      </w:r>
      <w:r w:rsidRPr="00054D5E">
        <w:rPr>
          <w:sz w:val="22"/>
          <w:szCs w:val="22"/>
        </w:rPr>
        <w:t xml:space="preserve">ourt held that the trial court erred in instructing the jury that </w:t>
      </w:r>
      <w:r w:rsidR="00F3785A" w:rsidRPr="00054D5E">
        <w:rPr>
          <w:sz w:val="22"/>
          <w:szCs w:val="22"/>
        </w:rPr>
        <w:t>“</w:t>
      </w:r>
      <w:r w:rsidRPr="00054D5E">
        <w:rPr>
          <w:sz w:val="22"/>
          <w:szCs w:val="22"/>
        </w:rPr>
        <w:t>at least the same ten jurors should concur in all the answers made.</w:t>
      </w:r>
      <w:r w:rsidR="00F3785A" w:rsidRPr="00054D5E">
        <w:rPr>
          <w:sz w:val="22"/>
          <w:szCs w:val="22"/>
        </w:rPr>
        <w:t>”</w:t>
      </w:r>
      <w:r w:rsidRPr="00054D5E">
        <w:rPr>
          <w:sz w:val="22"/>
          <w:szCs w:val="22"/>
        </w:rPr>
        <w:t xml:space="preserve"> The </w:t>
      </w:r>
      <w:r w:rsidR="00D55C15" w:rsidRPr="00054D5E">
        <w:rPr>
          <w:sz w:val="22"/>
          <w:szCs w:val="22"/>
        </w:rPr>
        <w:t>Supreme Court</w:t>
      </w:r>
      <w:r w:rsidRPr="00054D5E">
        <w:rPr>
          <w:sz w:val="22"/>
          <w:szCs w:val="22"/>
        </w:rPr>
        <w:t xml:space="preserve"> said this instruction to the jury was error </w:t>
      </w:r>
      <w:r w:rsidR="00F3785A" w:rsidRPr="00054D5E">
        <w:rPr>
          <w:sz w:val="22"/>
          <w:szCs w:val="22"/>
        </w:rPr>
        <w:t>“</w:t>
      </w:r>
      <w:r w:rsidRPr="00054D5E">
        <w:rPr>
          <w:sz w:val="22"/>
          <w:szCs w:val="22"/>
        </w:rPr>
        <w:t>because the six verdicts given to the jury were independent, each verdict being separate and distinct from the others.</w:t>
      </w:r>
      <w:r w:rsidR="00F3785A" w:rsidRPr="00054D5E">
        <w:rPr>
          <w:sz w:val="22"/>
          <w:szCs w:val="22"/>
        </w:rPr>
        <w:t>”</w:t>
      </w:r>
    </w:p>
    <w:p w14:paraId="6AE1A226" w14:textId="77777777" w:rsidR="004B6248" w:rsidRPr="00054D5E" w:rsidRDefault="004B6248" w:rsidP="004B6248">
      <w:pPr>
        <w:pStyle w:val="NoSpacing"/>
        <w:jc w:val="both"/>
        <w:rPr>
          <w:sz w:val="22"/>
          <w:szCs w:val="22"/>
        </w:rPr>
      </w:pPr>
    </w:p>
    <w:p w14:paraId="6D167719" w14:textId="77777777" w:rsidR="004B6248" w:rsidRPr="00054D5E" w:rsidRDefault="004B6248" w:rsidP="004B6248">
      <w:pPr>
        <w:pStyle w:val="NoSpacing"/>
        <w:ind w:firstLine="450"/>
        <w:jc w:val="both"/>
        <w:rPr>
          <w:sz w:val="22"/>
          <w:szCs w:val="22"/>
        </w:rPr>
      </w:pPr>
      <w:r w:rsidRPr="00054D5E">
        <w:rPr>
          <w:sz w:val="22"/>
          <w:szCs w:val="22"/>
        </w:rPr>
        <w:t xml:space="preserve">The </w:t>
      </w:r>
      <w:r w:rsidRPr="00054D5E">
        <w:rPr>
          <w:rStyle w:val="italics"/>
          <w:i w:val="0"/>
          <w:iCs w:val="0"/>
          <w:sz w:val="22"/>
          <w:szCs w:val="22"/>
          <w:u w:val="single"/>
        </w:rPr>
        <w:t>C.E.W.</w:t>
      </w:r>
      <w:r w:rsidRPr="00054D5E">
        <w:rPr>
          <w:sz w:val="22"/>
          <w:szCs w:val="22"/>
        </w:rPr>
        <w:t xml:space="preserve"> decision was preceded by the decision in </w:t>
      </w:r>
      <w:r w:rsidRPr="00054D5E">
        <w:rPr>
          <w:rStyle w:val="italics"/>
          <w:i w:val="0"/>
          <w:iCs w:val="0"/>
          <w:sz w:val="22"/>
          <w:szCs w:val="22"/>
          <w:u w:val="single"/>
        </w:rPr>
        <w:t>Giese v. Montgomery Ward, Inc.</w:t>
      </w:r>
      <w:r w:rsidRPr="00054D5E">
        <w:rPr>
          <w:sz w:val="22"/>
          <w:szCs w:val="22"/>
        </w:rPr>
        <w:t xml:space="preserve">, 111 Wis. 2d 392, 331 N.W.2d 585 (1983) in which the </w:t>
      </w:r>
      <w:r w:rsidR="00D55C15" w:rsidRPr="00054D5E">
        <w:rPr>
          <w:sz w:val="22"/>
          <w:szCs w:val="22"/>
        </w:rPr>
        <w:t>Supreme Court</w:t>
      </w:r>
      <w:r w:rsidRPr="00054D5E">
        <w:rPr>
          <w:sz w:val="22"/>
          <w:szCs w:val="22"/>
        </w:rPr>
        <w:t xml:space="preserve"> held that:</w:t>
      </w:r>
    </w:p>
    <w:p w14:paraId="11E3FE7C" w14:textId="77777777" w:rsidR="004B6248" w:rsidRPr="00054D5E" w:rsidRDefault="004B6248" w:rsidP="004B6248">
      <w:pPr>
        <w:pStyle w:val="NoSpacing"/>
        <w:ind w:firstLine="450"/>
        <w:jc w:val="both"/>
        <w:rPr>
          <w:sz w:val="22"/>
          <w:szCs w:val="22"/>
        </w:rPr>
      </w:pPr>
    </w:p>
    <w:p w14:paraId="72A68D05" w14:textId="41388BD4" w:rsidR="004B6248" w:rsidRPr="00054D5E" w:rsidRDefault="004B6248" w:rsidP="004B6248">
      <w:pPr>
        <w:pStyle w:val="NoSpacing"/>
        <w:ind w:left="450" w:right="450"/>
        <w:jc w:val="both"/>
        <w:rPr>
          <w:sz w:val="22"/>
          <w:szCs w:val="22"/>
        </w:rPr>
      </w:pPr>
      <w:r w:rsidRPr="00054D5E">
        <w:rPr>
          <w:sz w:val="22"/>
          <w:szCs w:val="22"/>
        </w:rPr>
        <w:t>“</w:t>
      </w:r>
      <w:r w:rsidR="00797B6C">
        <w:rPr>
          <w:sz w:val="22"/>
          <w:szCs w:val="22"/>
        </w:rPr>
        <w:t>I</w:t>
      </w:r>
      <w:r w:rsidRPr="00054D5E">
        <w:rPr>
          <w:sz w:val="22"/>
          <w:szCs w:val="22"/>
        </w:rPr>
        <w:t>t is well established in Wisconsin law that this statute (Wis. Stat. § 805.09(2)) requires not that five-sixths of the jury agree on all questions in the verdict, but rather that this number must agree on all questions necessary to support a judgment on a particular claim.”</w:t>
      </w:r>
    </w:p>
    <w:p w14:paraId="7A7CFEEF" w14:textId="77777777" w:rsidR="004B6248" w:rsidRPr="00054D5E" w:rsidRDefault="004B6248" w:rsidP="004B6248">
      <w:pPr>
        <w:pStyle w:val="NoSpacing"/>
        <w:jc w:val="both"/>
        <w:rPr>
          <w:sz w:val="22"/>
          <w:szCs w:val="22"/>
        </w:rPr>
      </w:pPr>
    </w:p>
    <w:p w14:paraId="284D1C6C" w14:textId="50E68E8D" w:rsidR="004B6248" w:rsidRPr="00054D5E" w:rsidRDefault="004B6248" w:rsidP="00E34FC4">
      <w:pPr>
        <w:pStyle w:val="NoSpacing"/>
        <w:ind w:firstLine="450"/>
        <w:jc w:val="both"/>
        <w:rPr>
          <w:sz w:val="22"/>
          <w:szCs w:val="22"/>
        </w:rPr>
      </w:pPr>
      <w:r w:rsidRPr="00054D5E">
        <w:rPr>
          <w:sz w:val="22"/>
          <w:szCs w:val="22"/>
        </w:rPr>
        <w:t xml:space="preserve">The </w:t>
      </w:r>
      <w:r w:rsidRPr="00054D5E">
        <w:rPr>
          <w:sz w:val="22"/>
          <w:szCs w:val="22"/>
          <w:u w:val="single"/>
        </w:rPr>
        <w:t>C.E.W.</w:t>
      </w:r>
      <w:r w:rsidRPr="00054D5E">
        <w:rPr>
          <w:sz w:val="22"/>
          <w:szCs w:val="22"/>
        </w:rPr>
        <w:t xml:space="preserve"> and </w:t>
      </w:r>
      <w:r w:rsidRPr="00054D5E">
        <w:rPr>
          <w:rStyle w:val="italics"/>
          <w:i w:val="0"/>
          <w:iCs w:val="0"/>
          <w:sz w:val="22"/>
          <w:szCs w:val="22"/>
          <w:u w:val="single"/>
        </w:rPr>
        <w:t>Giese</w:t>
      </w:r>
      <w:r w:rsidRPr="00054D5E">
        <w:rPr>
          <w:sz w:val="22"/>
          <w:szCs w:val="22"/>
        </w:rPr>
        <w:t xml:space="preserve"> decisions and the five-sixths rule were discussed in two court of appeals decisions in 2014 (both decided by one judge): </w:t>
      </w:r>
      <w:r w:rsidRPr="00054D5E">
        <w:rPr>
          <w:rStyle w:val="italics"/>
          <w:i w:val="0"/>
          <w:iCs w:val="0"/>
          <w:sz w:val="22"/>
          <w:szCs w:val="22"/>
          <w:u w:val="single"/>
        </w:rPr>
        <w:t>Portage County Department of Health and Human Services v. Tanya G.</w:t>
      </w:r>
      <w:r w:rsidRPr="00054D5E">
        <w:rPr>
          <w:sz w:val="22"/>
          <w:szCs w:val="22"/>
        </w:rPr>
        <w:t xml:space="preserve">, Appeal No. 2014AP86, and </w:t>
      </w:r>
      <w:r w:rsidRPr="00054D5E">
        <w:rPr>
          <w:rStyle w:val="italics"/>
          <w:i w:val="0"/>
          <w:iCs w:val="0"/>
          <w:sz w:val="22"/>
          <w:szCs w:val="22"/>
          <w:u w:val="single"/>
        </w:rPr>
        <w:t>State v. Jimmy J.</w:t>
      </w:r>
      <w:r w:rsidRPr="00054D5E">
        <w:rPr>
          <w:sz w:val="22"/>
          <w:szCs w:val="22"/>
        </w:rPr>
        <w:t xml:space="preserve">, Appeal No. 2014AP573. </w:t>
      </w:r>
      <w:r w:rsidR="002D490C" w:rsidRPr="00054D5E">
        <w:rPr>
          <w:sz w:val="22"/>
          <w:szCs w:val="22"/>
        </w:rPr>
        <w:t xml:space="preserve">Neither </w:t>
      </w:r>
      <w:r w:rsidR="002D490C" w:rsidRPr="00054D5E">
        <w:rPr>
          <w:sz w:val="22"/>
          <w:szCs w:val="22"/>
          <w:u w:val="single"/>
        </w:rPr>
        <w:t>Tanya G.</w:t>
      </w:r>
      <w:r w:rsidR="002D490C" w:rsidRPr="00054D5E">
        <w:rPr>
          <w:sz w:val="22"/>
          <w:szCs w:val="22"/>
        </w:rPr>
        <w:t xml:space="preserve"> nor </w:t>
      </w:r>
      <w:r w:rsidR="002D490C" w:rsidRPr="00054D5E">
        <w:rPr>
          <w:sz w:val="22"/>
          <w:szCs w:val="22"/>
          <w:u w:val="single"/>
        </w:rPr>
        <w:t>Jimmy J.</w:t>
      </w:r>
      <w:r w:rsidR="002D490C" w:rsidRPr="00054D5E">
        <w:rPr>
          <w:sz w:val="22"/>
          <w:szCs w:val="22"/>
        </w:rPr>
        <w:t xml:space="preserve"> has precedential value under Wis. Stat. § 809.23(3), and they are cited here only as illustrative applications of the </w:t>
      </w:r>
      <w:r w:rsidR="002D490C" w:rsidRPr="00054D5E">
        <w:rPr>
          <w:sz w:val="22"/>
          <w:szCs w:val="22"/>
          <w:u w:val="single"/>
        </w:rPr>
        <w:t>C.E.W./Giese</w:t>
      </w:r>
      <w:r w:rsidR="002D490C" w:rsidRPr="00054D5E">
        <w:rPr>
          <w:sz w:val="22"/>
          <w:szCs w:val="22"/>
        </w:rPr>
        <w:t xml:space="preserve"> rule.</w:t>
      </w:r>
      <w:r w:rsidR="00E34FC4" w:rsidRPr="00054D5E">
        <w:rPr>
          <w:sz w:val="22"/>
          <w:szCs w:val="22"/>
        </w:rPr>
        <w:t xml:space="preserve"> </w:t>
      </w:r>
      <w:r w:rsidRPr="00054D5E">
        <w:rPr>
          <w:sz w:val="22"/>
          <w:szCs w:val="22"/>
        </w:rPr>
        <w:t xml:space="preserve">In </w:t>
      </w:r>
      <w:r w:rsidRPr="00054D5E">
        <w:rPr>
          <w:rStyle w:val="italics"/>
          <w:i w:val="0"/>
          <w:iCs w:val="0"/>
          <w:sz w:val="22"/>
          <w:szCs w:val="22"/>
          <w:u w:val="single"/>
        </w:rPr>
        <w:t>Tanya G.</w:t>
      </w:r>
      <w:r w:rsidRPr="00054D5E">
        <w:rPr>
          <w:sz w:val="22"/>
          <w:szCs w:val="22"/>
        </w:rPr>
        <w:t xml:space="preserve"> the court said:</w:t>
      </w:r>
    </w:p>
    <w:p w14:paraId="31482FFB" w14:textId="77777777" w:rsidR="004B6248" w:rsidRPr="00054D5E" w:rsidRDefault="004B6248" w:rsidP="004B6248">
      <w:pPr>
        <w:pStyle w:val="NoSpacing"/>
        <w:jc w:val="both"/>
        <w:rPr>
          <w:sz w:val="22"/>
          <w:szCs w:val="22"/>
        </w:rPr>
      </w:pPr>
    </w:p>
    <w:p w14:paraId="3965745E" w14:textId="77777777" w:rsidR="004B6248" w:rsidRPr="00054D5E" w:rsidRDefault="004B6248" w:rsidP="004B6248">
      <w:pPr>
        <w:pStyle w:val="NoSpacing"/>
        <w:ind w:left="450" w:right="450"/>
        <w:jc w:val="both"/>
        <w:rPr>
          <w:sz w:val="22"/>
          <w:szCs w:val="22"/>
        </w:rPr>
      </w:pPr>
      <w:r w:rsidRPr="00054D5E">
        <w:rPr>
          <w:sz w:val="22"/>
          <w:szCs w:val="22"/>
        </w:rPr>
        <w:t xml:space="preserve">¶17 </w:t>
      </w:r>
      <w:r w:rsidRPr="00A06F31">
        <w:rPr>
          <w:sz w:val="22"/>
          <w:szCs w:val="22"/>
          <w:u w:val="single"/>
        </w:rPr>
        <w:t>Tanya G.</w:t>
      </w:r>
      <w:r w:rsidRPr="00054D5E">
        <w:rPr>
          <w:sz w:val="22"/>
          <w:szCs w:val="22"/>
        </w:rPr>
        <w:t xml:space="preserve"> contends that the version of Wis JI 152 read by the court was a misstatement of law and thus the instruction was misleading and erroneous. The court instructed the jury as follows:</w:t>
      </w:r>
    </w:p>
    <w:p w14:paraId="042E1F3B" w14:textId="77777777" w:rsidR="004B6248" w:rsidRPr="00054D5E" w:rsidRDefault="004B6248" w:rsidP="004B6248">
      <w:pPr>
        <w:pStyle w:val="NoSpacing"/>
        <w:jc w:val="both"/>
        <w:rPr>
          <w:sz w:val="22"/>
          <w:szCs w:val="22"/>
        </w:rPr>
      </w:pPr>
    </w:p>
    <w:p w14:paraId="7870CF2E" w14:textId="77777777" w:rsidR="004B6248" w:rsidRPr="00054D5E" w:rsidRDefault="004B6248" w:rsidP="004B6248">
      <w:pPr>
        <w:pStyle w:val="NoSpacing"/>
        <w:ind w:left="900" w:right="810" w:firstLine="360"/>
        <w:jc w:val="both"/>
        <w:rPr>
          <w:sz w:val="22"/>
          <w:szCs w:val="22"/>
        </w:rPr>
      </w:pPr>
      <w:r w:rsidRPr="00054D5E">
        <w:rPr>
          <w:sz w:val="22"/>
          <w:szCs w:val="22"/>
        </w:rPr>
        <w:t>Agreement by 10 or more jurors is sufficient to become the verdict of the jury.</w:t>
      </w:r>
    </w:p>
    <w:p w14:paraId="1AC9131F" w14:textId="77777777" w:rsidR="004B6248" w:rsidRPr="00054D5E" w:rsidRDefault="004B6248" w:rsidP="004B6248">
      <w:pPr>
        <w:pStyle w:val="NoSpacing"/>
        <w:jc w:val="both"/>
        <w:rPr>
          <w:sz w:val="22"/>
          <w:szCs w:val="22"/>
        </w:rPr>
      </w:pPr>
    </w:p>
    <w:p w14:paraId="2EEF4608" w14:textId="77777777" w:rsidR="004B6248" w:rsidRPr="00054D5E" w:rsidRDefault="004B6248" w:rsidP="004B6248">
      <w:pPr>
        <w:pStyle w:val="NoSpacing"/>
        <w:ind w:left="900" w:right="900" w:firstLine="360"/>
        <w:jc w:val="both"/>
        <w:rPr>
          <w:sz w:val="22"/>
          <w:szCs w:val="22"/>
        </w:rPr>
      </w:pPr>
      <w:r w:rsidRPr="00054D5E">
        <w:rPr>
          <w:sz w:val="22"/>
          <w:szCs w:val="22"/>
        </w:rPr>
        <w:t>If you can do so consistently with your duty as a juror, at least the same 10 jurors should agree in all the answers. I ask you to be unanimous if you can.</w:t>
      </w:r>
    </w:p>
    <w:p w14:paraId="2C5E7C78" w14:textId="77777777" w:rsidR="004B6248" w:rsidRPr="00054D5E" w:rsidRDefault="004B6248" w:rsidP="004B6248">
      <w:pPr>
        <w:pStyle w:val="NoSpacing"/>
        <w:jc w:val="both"/>
        <w:rPr>
          <w:sz w:val="22"/>
          <w:szCs w:val="22"/>
        </w:rPr>
      </w:pPr>
    </w:p>
    <w:p w14:paraId="3FD9E016" w14:textId="77777777" w:rsidR="004B6248" w:rsidRPr="00054D5E" w:rsidRDefault="004B6248" w:rsidP="004B6248">
      <w:pPr>
        <w:pStyle w:val="NoSpacing"/>
        <w:ind w:left="450" w:right="540"/>
        <w:jc w:val="both"/>
        <w:rPr>
          <w:sz w:val="22"/>
          <w:szCs w:val="22"/>
        </w:rPr>
      </w:pPr>
      <w:r w:rsidRPr="00054D5E">
        <w:rPr>
          <w:sz w:val="22"/>
          <w:szCs w:val="22"/>
        </w:rPr>
        <w:t>(Emphasis added.) Tanya G. argues that, contrary to the court</w:t>
      </w:r>
      <w:r w:rsidR="00D55C15" w:rsidRPr="00054D5E">
        <w:rPr>
          <w:sz w:val="22"/>
          <w:szCs w:val="22"/>
        </w:rPr>
        <w:t>’</w:t>
      </w:r>
      <w:r w:rsidRPr="00054D5E">
        <w:rPr>
          <w:sz w:val="22"/>
          <w:szCs w:val="22"/>
        </w:rPr>
        <w:t xml:space="preserve">s instruction, case law does not require the same ten persons to agree when the civil verdict presents two or more claims, citing </w:t>
      </w:r>
      <w:r w:rsidRPr="00A06F31">
        <w:rPr>
          <w:sz w:val="22"/>
          <w:szCs w:val="22"/>
          <w:u w:val="single"/>
        </w:rPr>
        <w:t>In Interest of C.E.W.</w:t>
      </w:r>
      <w:r w:rsidRPr="00054D5E">
        <w:rPr>
          <w:sz w:val="22"/>
          <w:szCs w:val="22"/>
        </w:rPr>
        <w:t xml:space="preserve">, 124 Wis. 2d 47, 59, 368 N.W.2d 47 (1985), and </w:t>
      </w:r>
      <w:r w:rsidRPr="00A06F31">
        <w:rPr>
          <w:sz w:val="22"/>
          <w:szCs w:val="22"/>
          <w:u w:val="single"/>
        </w:rPr>
        <w:t>Giese v. Montgomery Ward, Inc.</w:t>
      </w:r>
      <w:r w:rsidRPr="00054D5E">
        <w:rPr>
          <w:sz w:val="22"/>
          <w:szCs w:val="22"/>
        </w:rPr>
        <w:t xml:space="preserve">, 111 Wis. 2d 392, 401, 331 N.W.2d 585 (1983) (the five-sixths verdict rule requires that the same ten jurors agree on all questions necessary to support a judgment </w:t>
      </w:r>
      <w:r w:rsidRPr="00054D5E">
        <w:rPr>
          <w:i/>
          <w:iCs/>
          <w:sz w:val="22"/>
          <w:szCs w:val="22"/>
        </w:rPr>
        <w:t>only on a particular claim</w:t>
      </w:r>
      <w:r w:rsidRPr="00054D5E">
        <w:rPr>
          <w:sz w:val="22"/>
          <w:szCs w:val="22"/>
        </w:rPr>
        <w:t xml:space="preserve">). The County essentially concedes this point. We agree with Tanya G. that the five-sixths verdict instruction read to the jury in this case misstates the law. As we quoted above, the jury was instructed that </w:t>
      </w:r>
      <w:r w:rsidR="00D55C15" w:rsidRPr="00054D5E">
        <w:rPr>
          <w:sz w:val="22"/>
          <w:szCs w:val="22"/>
        </w:rPr>
        <w:t>“</w:t>
      </w:r>
      <w:r w:rsidRPr="00054D5E">
        <w:rPr>
          <w:sz w:val="22"/>
          <w:szCs w:val="22"/>
        </w:rPr>
        <w:t xml:space="preserve">at least the same 10 jurors should agree in </w:t>
      </w:r>
      <w:r w:rsidRPr="00054D5E">
        <w:rPr>
          <w:i/>
          <w:iCs/>
          <w:sz w:val="22"/>
          <w:szCs w:val="22"/>
        </w:rPr>
        <w:t>all the answers</w:t>
      </w:r>
      <w:r w:rsidRPr="00054D5E">
        <w:rPr>
          <w:sz w:val="22"/>
          <w:szCs w:val="22"/>
        </w:rPr>
        <w:t>,</w:t>
      </w:r>
      <w:r w:rsidR="00D55C15" w:rsidRPr="00054D5E">
        <w:rPr>
          <w:sz w:val="22"/>
          <w:szCs w:val="22"/>
        </w:rPr>
        <w:t>”</w:t>
      </w:r>
      <w:r w:rsidRPr="00054D5E">
        <w:rPr>
          <w:sz w:val="22"/>
          <w:szCs w:val="22"/>
        </w:rPr>
        <w:t xml:space="preserve"> which necessarily included the second and separate claim that Tanya G. failed to assume her parental responsibility for Autumn B.A. </w:t>
      </w:r>
      <w:r w:rsidRPr="00A06F31">
        <w:rPr>
          <w:sz w:val="22"/>
          <w:szCs w:val="22"/>
        </w:rPr>
        <w:t>See</w:t>
      </w:r>
      <w:r w:rsidRPr="00054D5E">
        <w:rPr>
          <w:i/>
          <w:iCs/>
          <w:sz w:val="22"/>
          <w:szCs w:val="22"/>
        </w:rPr>
        <w:t xml:space="preserve"> </w:t>
      </w:r>
      <w:r w:rsidRPr="00A06F31">
        <w:rPr>
          <w:sz w:val="22"/>
          <w:szCs w:val="22"/>
          <w:u w:val="single"/>
        </w:rPr>
        <w:t>C.E.W.</w:t>
      </w:r>
      <w:r w:rsidRPr="00054D5E">
        <w:rPr>
          <w:sz w:val="22"/>
          <w:szCs w:val="22"/>
        </w:rPr>
        <w:t xml:space="preserve">, 124 Wis. 2d at 59; </w:t>
      </w:r>
      <w:r w:rsidRPr="000A2482">
        <w:rPr>
          <w:sz w:val="22"/>
          <w:szCs w:val="22"/>
          <w:u w:val="single"/>
        </w:rPr>
        <w:t>Giese</w:t>
      </w:r>
      <w:r w:rsidRPr="00054D5E">
        <w:rPr>
          <w:sz w:val="22"/>
          <w:szCs w:val="22"/>
        </w:rPr>
        <w:t>, 111 Wis. 2d at 401.</w:t>
      </w:r>
    </w:p>
    <w:p w14:paraId="24767353" w14:textId="77777777" w:rsidR="004B6248" w:rsidRPr="00054D5E" w:rsidRDefault="004B6248" w:rsidP="004B6248">
      <w:pPr>
        <w:pStyle w:val="NoSpacing"/>
        <w:jc w:val="both"/>
        <w:rPr>
          <w:sz w:val="22"/>
          <w:szCs w:val="22"/>
        </w:rPr>
      </w:pPr>
    </w:p>
    <w:p w14:paraId="6F330DFE" w14:textId="01068139" w:rsidR="004B6248" w:rsidRPr="00054D5E" w:rsidRDefault="004B6248" w:rsidP="004B6248">
      <w:pPr>
        <w:pStyle w:val="NoSpacing"/>
        <w:ind w:left="450"/>
        <w:jc w:val="both"/>
        <w:rPr>
          <w:sz w:val="22"/>
          <w:szCs w:val="22"/>
        </w:rPr>
      </w:pPr>
      <w:r w:rsidRPr="00054D5E">
        <w:rPr>
          <w:sz w:val="22"/>
          <w:szCs w:val="22"/>
        </w:rPr>
        <w:t>Similarly</w:t>
      </w:r>
      <w:r w:rsidR="000415E4">
        <w:rPr>
          <w:sz w:val="22"/>
          <w:szCs w:val="22"/>
        </w:rPr>
        <w:t>,</w:t>
      </w:r>
      <w:r w:rsidRPr="00054D5E">
        <w:rPr>
          <w:sz w:val="22"/>
          <w:szCs w:val="22"/>
        </w:rPr>
        <w:t xml:space="preserve"> in </w:t>
      </w:r>
      <w:r w:rsidRPr="00990E7A">
        <w:rPr>
          <w:rStyle w:val="italics"/>
          <w:i w:val="0"/>
          <w:iCs w:val="0"/>
          <w:sz w:val="22"/>
          <w:szCs w:val="22"/>
          <w:u w:val="single"/>
        </w:rPr>
        <w:t>State v. Jimmy J.</w:t>
      </w:r>
      <w:r w:rsidRPr="00054D5E">
        <w:rPr>
          <w:sz w:val="22"/>
          <w:szCs w:val="22"/>
        </w:rPr>
        <w:t>, the court said:</w:t>
      </w:r>
    </w:p>
    <w:p w14:paraId="14ACB71F" w14:textId="77777777" w:rsidR="004B6248" w:rsidRPr="00054D5E" w:rsidRDefault="004B6248" w:rsidP="004B6248">
      <w:pPr>
        <w:pStyle w:val="NoSpacing"/>
        <w:ind w:left="450"/>
        <w:jc w:val="both"/>
        <w:rPr>
          <w:sz w:val="22"/>
          <w:szCs w:val="22"/>
        </w:rPr>
      </w:pPr>
    </w:p>
    <w:p w14:paraId="40F9DED4" w14:textId="0D63E4B1" w:rsidR="004B6248" w:rsidRPr="00054D5E" w:rsidRDefault="004B6248" w:rsidP="004B6248">
      <w:pPr>
        <w:pStyle w:val="NoSpacing"/>
        <w:ind w:left="900" w:right="900" w:firstLine="360"/>
        <w:jc w:val="both"/>
        <w:rPr>
          <w:sz w:val="22"/>
          <w:szCs w:val="22"/>
        </w:rPr>
      </w:pPr>
      <w:r w:rsidRPr="00054D5E">
        <w:rPr>
          <w:sz w:val="22"/>
          <w:szCs w:val="22"/>
        </w:rPr>
        <w:t xml:space="preserve">¶4. . . [T]he general rule is that the same ten persons do not have to agree when the civil verdict presents two or more claims. </w:t>
      </w:r>
      <w:r w:rsidRPr="00A06F31">
        <w:rPr>
          <w:sz w:val="22"/>
          <w:szCs w:val="22"/>
        </w:rPr>
        <w:t>See</w:t>
      </w:r>
      <w:r w:rsidRPr="00054D5E">
        <w:rPr>
          <w:sz w:val="22"/>
          <w:szCs w:val="22"/>
        </w:rPr>
        <w:t xml:space="preserve"> </w:t>
      </w:r>
      <w:r w:rsidRPr="00054D5E">
        <w:rPr>
          <w:smallCaps/>
          <w:sz w:val="22"/>
          <w:szCs w:val="22"/>
        </w:rPr>
        <w:t>Wis. Stat. Rule</w:t>
      </w:r>
      <w:r w:rsidRPr="00054D5E">
        <w:rPr>
          <w:sz w:val="22"/>
          <w:szCs w:val="22"/>
        </w:rPr>
        <w:t xml:space="preserve"> 805.09(2) (</w:t>
      </w:r>
      <w:r w:rsidR="00D55C15" w:rsidRPr="00054D5E">
        <w:rPr>
          <w:sz w:val="22"/>
          <w:szCs w:val="22"/>
        </w:rPr>
        <w:t>“</w:t>
      </w:r>
      <w:r w:rsidRPr="00054D5E">
        <w:rPr>
          <w:sz w:val="22"/>
          <w:szCs w:val="22"/>
        </w:rPr>
        <w:t>A verdict agreed to by five-sixths of the jurors shall be the verdict of the jury. If more than one question must be answered to arrive at a verdict on the same claim, the same five-sixths of the jurors must agree on all the questions.</w:t>
      </w:r>
      <w:r w:rsidR="00D55C15" w:rsidRPr="00054D5E">
        <w:rPr>
          <w:sz w:val="22"/>
          <w:szCs w:val="22"/>
        </w:rPr>
        <w:t>”</w:t>
      </w:r>
      <w:r w:rsidRPr="00054D5E">
        <w:rPr>
          <w:sz w:val="22"/>
          <w:szCs w:val="22"/>
        </w:rPr>
        <w:t xml:space="preserve">); </w:t>
      </w:r>
      <w:r w:rsidRPr="00A06F31">
        <w:rPr>
          <w:rStyle w:val="italics"/>
          <w:i w:val="0"/>
          <w:iCs w:val="0"/>
          <w:sz w:val="22"/>
          <w:szCs w:val="22"/>
          <w:u w:val="single"/>
        </w:rPr>
        <w:t>Giese v. Montgomery Ward, Inc.</w:t>
      </w:r>
      <w:r w:rsidRPr="00054D5E">
        <w:rPr>
          <w:sz w:val="22"/>
          <w:szCs w:val="22"/>
        </w:rPr>
        <w:t>, 111 Wis. 2d 392, 401, 331 N.W.2d 585, 590 (1983) (</w:t>
      </w:r>
      <w:r w:rsidR="00D55C15" w:rsidRPr="00054D5E">
        <w:rPr>
          <w:sz w:val="22"/>
          <w:szCs w:val="22"/>
        </w:rPr>
        <w:t>“</w:t>
      </w:r>
      <w:r w:rsidRPr="00054D5E">
        <w:rPr>
          <w:sz w:val="22"/>
          <w:szCs w:val="22"/>
        </w:rPr>
        <w:t>It is well established in Wisconsin law that this statute requires not that five-sixths of the jury agree on all questions in the verdict, but rather that this number must agree on all questions necessary to support a judgment on a particular claim.</w:t>
      </w:r>
      <w:r w:rsidR="00D55C15" w:rsidRPr="00054D5E">
        <w:rPr>
          <w:sz w:val="22"/>
          <w:szCs w:val="22"/>
        </w:rPr>
        <w:t>”</w:t>
      </w:r>
      <w:r w:rsidRPr="00054D5E">
        <w:rPr>
          <w:sz w:val="22"/>
          <w:szCs w:val="22"/>
        </w:rPr>
        <w:t xml:space="preserve">). Further, </w:t>
      </w:r>
      <w:r w:rsidRPr="00A06F31">
        <w:rPr>
          <w:sz w:val="22"/>
          <w:szCs w:val="22"/>
          <w:u w:val="single"/>
        </w:rPr>
        <w:t>Jimmy J.</w:t>
      </w:r>
      <w:r w:rsidRPr="00054D5E">
        <w:rPr>
          <w:sz w:val="22"/>
          <w:szCs w:val="22"/>
        </w:rPr>
        <w:t xml:space="preserve"> points to </w:t>
      </w:r>
      <w:r w:rsidRPr="00A06F31">
        <w:rPr>
          <w:rStyle w:val="italics"/>
          <w:i w:val="0"/>
          <w:iCs w:val="0"/>
          <w:sz w:val="22"/>
          <w:szCs w:val="22"/>
          <w:u w:val="single"/>
        </w:rPr>
        <w:t xml:space="preserve">Waukesha </w:t>
      </w:r>
      <w:proofErr w:type="spellStart"/>
      <w:r w:rsidRPr="00A06F31">
        <w:rPr>
          <w:rStyle w:val="italics"/>
          <w:i w:val="0"/>
          <w:iCs w:val="0"/>
          <w:sz w:val="22"/>
          <w:szCs w:val="22"/>
          <w:u w:val="single"/>
        </w:rPr>
        <w:t>Cnty</w:t>
      </w:r>
      <w:proofErr w:type="spellEnd"/>
      <w:r w:rsidRPr="00A06F31">
        <w:rPr>
          <w:rStyle w:val="italics"/>
          <w:i w:val="0"/>
          <w:iCs w:val="0"/>
          <w:sz w:val="22"/>
          <w:szCs w:val="22"/>
          <w:u w:val="single"/>
        </w:rPr>
        <w:t xml:space="preserve">. </w:t>
      </w:r>
      <w:proofErr w:type="spellStart"/>
      <w:r w:rsidRPr="00A06F31">
        <w:rPr>
          <w:rStyle w:val="italics"/>
          <w:i w:val="0"/>
          <w:iCs w:val="0"/>
          <w:sz w:val="22"/>
          <w:szCs w:val="22"/>
          <w:u w:val="single"/>
        </w:rPr>
        <w:t>Dep't</w:t>
      </w:r>
      <w:proofErr w:type="spellEnd"/>
      <w:r w:rsidRPr="00A06F31">
        <w:rPr>
          <w:rStyle w:val="italics"/>
          <w:i w:val="0"/>
          <w:iCs w:val="0"/>
          <w:sz w:val="22"/>
          <w:szCs w:val="22"/>
          <w:u w:val="single"/>
        </w:rPr>
        <w:t xml:space="preserve"> of Social Services v. C.E.W.</w:t>
      </w:r>
      <w:r w:rsidRPr="00054D5E">
        <w:rPr>
          <w:sz w:val="22"/>
          <w:szCs w:val="22"/>
        </w:rPr>
        <w:t>, 124 Wis. 2d 47, 71-72, 368 N.W.2d 47, 59 (1985), which determined that it was error to tell the jury that it had to agree on all the bases on which the County sought to terminate the parent</w:t>
      </w:r>
      <w:r w:rsidR="00D55C15" w:rsidRPr="00054D5E">
        <w:rPr>
          <w:sz w:val="22"/>
          <w:szCs w:val="22"/>
        </w:rPr>
        <w:t>’</w:t>
      </w:r>
      <w:r w:rsidRPr="00054D5E">
        <w:rPr>
          <w:sz w:val="22"/>
          <w:szCs w:val="22"/>
        </w:rPr>
        <w:t>s parental rights.</w:t>
      </w:r>
    </w:p>
    <w:p w14:paraId="231692A2" w14:textId="1CC2C8E9" w:rsidR="00AB45BF" w:rsidRPr="00054D5E" w:rsidRDefault="00AB45BF" w:rsidP="00AB45BF">
      <w:pPr>
        <w:pStyle w:val="NoSpacing"/>
        <w:ind w:right="900"/>
        <w:jc w:val="both"/>
        <w:rPr>
          <w:sz w:val="22"/>
          <w:szCs w:val="22"/>
        </w:rPr>
      </w:pPr>
    </w:p>
    <w:p w14:paraId="3466F828" w14:textId="26C8EF93" w:rsidR="00C56C06" w:rsidRPr="00054D5E" w:rsidRDefault="00C56C06" w:rsidP="00C56C06">
      <w:pPr>
        <w:pStyle w:val="NoSpacing"/>
        <w:ind w:firstLine="450"/>
        <w:jc w:val="both"/>
        <w:rPr>
          <w:sz w:val="22"/>
          <w:szCs w:val="22"/>
        </w:rPr>
      </w:pPr>
      <w:r w:rsidRPr="00054D5E">
        <w:rPr>
          <w:sz w:val="22"/>
          <w:szCs w:val="22"/>
        </w:rPr>
        <w:t>Under Wis. Stat. § 805.09(2), when multiple questions must be answered to resolve a single claim, the same five-sixths of the jurors must agree on all such questions. This requirement applies on a claim-by-claim basis.</w:t>
      </w:r>
    </w:p>
    <w:p w14:paraId="059B9BF8" w14:textId="3E64B2E7" w:rsidR="00C21F3A" w:rsidRPr="00054D5E" w:rsidRDefault="00C21F3A" w:rsidP="00C56C06">
      <w:pPr>
        <w:pStyle w:val="NoSpacing"/>
        <w:ind w:firstLine="450"/>
        <w:jc w:val="both"/>
        <w:rPr>
          <w:sz w:val="22"/>
          <w:szCs w:val="22"/>
        </w:rPr>
      </w:pPr>
    </w:p>
    <w:p w14:paraId="38302714" w14:textId="44211A84" w:rsidR="00C21F3A" w:rsidRPr="00054D5E" w:rsidRDefault="00C21F3A" w:rsidP="00C56C06">
      <w:pPr>
        <w:pStyle w:val="NoSpacing"/>
        <w:ind w:firstLine="450"/>
        <w:jc w:val="both"/>
        <w:rPr>
          <w:sz w:val="22"/>
          <w:szCs w:val="22"/>
        </w:rPr>
      </w:pPr>
      <w:r w:rsidRPr="00054D5E">
        <w:rPr>
          <w:sz w:val="22"/>
          <w:szCs w:val="22"/>
        </w:rPr>
        <w:t>Although the right to demand a jury at the grounds phase of a TPR proceeding is statutory, the right to a verdict by at least five-sixths of the jury in a civil case arises from Wis. Const. art. I, § 5 and Wis. Stat. § 805.09(2).</w:t>
      </w:r>
    </w:p>
    <w:p w14:paraId="6D4AE61A" w14:textId="77777777" w:rsidR="00C56C06" w:rsidRPr="00054D5E" w:rsidRDefault="00C56C06" w:rsidP="00C56C06">
      <w:pPr>
        <w:pStyle w:val="NoSpacing"/>
        <w:ind w:firstLine="450"/>
        <w:jc w:val="both"/>
        <w:rPr>
          <w:sz w:val="22"/>
          <w:szCs w:val="22"/>
        </w:rPr>
      </w:pPr>
    </w:p>
    <w:p w14:paraId="6D6A6FE6" w14:textId="4B057231" w:rsidR="00C56C06" w:rsidRPr="00054D5E" w:rsidRDefault="00C56C06" w:rsidP="007D6934">
      <w:pPr>
        <w:pStyle w:val="NoSpacing"/>
        <w:ind w:firstLine="450"/>
        <w:jc w:val="both"/>
        <w:rPr>
          <w:sz w:val="22"/>
          <w:szCs w:val="22"/>
        </w:rPr>
      </w:pPr>
      <w:r w:rsidRPr="00054D5E">
        <w:rPr>
          <w:sz w:val="22"/>
          <w:szCs w:val="22"/>
        </w:rPr>
        <w:t>In termination of parental rights proceedings involving abandonment under Wis. Stat. § 48.415(1)(a)</w:t>
      </w:r>
      <w:r w:rsidR="00A45DF6" w:rsidRPr="00054D5E">
        <w:rPr>
          <w:sz w:val="22"/>
          <w:szCs w:val="22"/>
        </w:rPr>
        <w:t>3</w:t>
      </w:r>
      <w:r w:rsidRPr="00054D5E">
        <w:rPr>
          <w:sz w:val="22"/>
          <w:szCs w:val="22"/>
        </w:rPr>
        <w:t>,</w:t>
      </w:r>
      <w:r w:rsidR="00C21F3A" w:rsidRPr="00054D5E">
        <w:rPr>
          <w:sz w:val="22"/>
          <w:szCs w:val="22"/>
        </w:rPr>
        <w:t xml:space="preserve"> the time period submitted under the abandonment element and any good-cause questions submitted under § 48.415(1)(c) are part of the same abandonment ground for five-sixths purposes. </w:t>
      </w:r>
      <w:r w:rsidRPr="00054D5E">
        <w:rPr>
          <w:sz w:val="22"/>
          <w:szCs w:val="22"/>
        </w:rPr>
        <w:t xml:space="preserve">In </w:t>
      </w:r>
      <w:r w:rsidRPr="00054D5E">
        <w:rPr>
          <w:sz w:val="22"/>
          <w:szCs w:val="22"/>
          <w:u w:val="single"/>
        </w:rPr>
        <w:t>In re L.L.S.</w:t>
      </w:r>
      <w:r w:rsidR="00EE15E8">
        <w:rPr>
          <w:sz w:val="22"/>
          <w:szCs w:val="22"/>
          <w:u w:val="single"/>
        </w:rPr>
        <w:t>-</w:t>
      </w:r>
      <w:r w:rsidRPr="00054D5E">
        <w:rPr>
          <w:sz w:val="22"/>
          <w:szCs w:val="22"/>
          <w:u w:val="single"/>
        </w:rPr>
        <w:t>P.</w:t>
      </w:r>
      <w:r w:rsidRPr="00054D5E">
        <w:rPr>
          <w:sz w:val="22"/>
          <w:szCs w:val="22"/>
        </w:rPr>
        <w:t xml:space="preserve">, 2025 WI App 69, ¶¶53–56, 418 Wis. 2d 654, 28 N.W.3d 232, the court held that </w:t>
      </w:r>
      <w:r w:rsidR="00C21F3A" w:rsidRPr="00054D5E">
        <w:rPr>
          <w:sz w:val="22"/>
          <w:szCs w:val="22"/>
        </w:rPr>
        <w:t>the same five-sixths of the jurors must agree on one specific period of abandonment, and the same five-sixths must agree on all verdict answers necessary to resolve the § 48.415(1)(c) good-cause questions for that same period.</w:t>
      </w:r>
      <w:r w:rsidR="007D6934" w:rsidRPr="00054D5E">
        <w:rPr>
          <w:sz w:val="22"/>
          <w:szCs w:val="22"/>
        </w:rPr>
        <w:t xml:space="preserve"> </w:t>
      </w:r>
      <w:r w:rsidRPr="00054D5E">
        <w:rPr>
          <w:sz w:val="22"/>
          <w:szCs w:val="22"/>
        </w:rPr>
        <w:t>A verdict is not valid unless the same five-sixths concur on all questions necessary to resolve that ground.</w:t>
      </w:r>
    </w:p>
    <w:p w14:paraId="7CDF70C8" w14:textId="20FB48F0" w:rsidR="00A45DF6" w:rsidRPr="00054D5E" w:rsidRDefault="00A45DF6" w:rsidP="00C56C06">
      <w:pPr>
        <w:pStyle w:val="NoSpacing"/>
        <w:ind w:firstLine="450"/>
        <w:jc w:val="both"/>
        <w:rPr>
          <w:sz w:val="22"/>
          <w:szCs w:val="22"/>
        </w:rPr>
      </w:pPr>
    </w:p>
    <w:p w14:paraId="34759CB4" w14:textId="66C22380" w:rsidR="00A45DF6" w:rsidRPr="00054D5E" w:rsidRDefault="00A45DF6" w:rsidP="009873E2">
      <w:pPr>
        <w:pStyle w:val="NoSpacing"/>
        <w:ind w:firstLine="450"/>
        <w:jc w:val="both"/>
        <w:rPr>
          <w:sz w:val="22"/>
          <w:szCs w:val="22"/>
        </w:rPr>
      </w:pPr>
      <w:r w:rsidRPr="00054D5E">
        <w:rPr>
          <w:sz w:val="22"/>
          <w:szCs w:val="22"/>
        </w:rPr>
        <w:t xml:space="preserve">Relatedly, </w:t>
      </w:r>
      <w:r w:rsidRPr="00054D5E">
        <w:rPr>
          <w:sz w:val="22"/>
          <w:szCs w:val="22"/>
          <w:u w:val="single"/>
        </w:rPr>
        <w:t>L.L.S.–P</w:t>
      </w:r>
      <w:r w:rsidRPr="00054D5E">
        <w:rPr>
          <w:sz w:val="22"/>
          <w:szCs w:val="22"/>
        </w:rPr>
        <w:t xml:space="preserve">. further held that where more than one period of abandonment is alleged, the jury must be instructed to consider each alleged period separately, and the verdict must include </w:t>
      </w:r>
      <w:r w:rsidR="007D6934" w:rsidRPr="00054D5E">
        <w:rPr>
          <w:sz w:val="22"/>
          <w:szCs w:val="22"/>
        </w:rPr>
        <w:t xml:space="preserve">a separate verdict form </w:t>
      </w:r>
      <w:r w:rsidRPr="00054D5E">
        <w:rPr>
          <w:sz w:val="22"/>
          <w:szCs w:val="22"/>
        </w:rPr>
        <w:t xml:space="preserve">for each period. 2025 WI App 69, ¶¶43–48. Failure to do so deprives the parent of the right to a five-sixths verdict </w:t>
      </w:r>
      <w:r w:rsidR="009873E2" w:rsidRPr="00054D5E">
        <w:rPr>
          <w:sz w:val="22"/>
          <w:szCs w:val="22"/>
        </w:rPr>
        <w:t>as to any alleged period submitted</w:t>
      </w:r>
      <w:r w:rsidRPr="00054D5E">
        <w:rPr>
          <w:sz w:val="22"/>
          <w:szCs w:val="22"/>
        </w:rPr>
        <w:t xml:space="preserve">, because a general verdict cannot establish that the same five-sixths of the jurors agreed that abandonment occurred during any one qualifying </w:t>
      </w:r>
      <w:r w:rsidR="009873E2" w:rsidRPr="00054D5E">
        <w:rPr>
          <w:sz w:val="22"/>
          <w:szCs w:val="22"/>
        </w:rPr>
        <w:t xml:space="preserve">statutory </w:t>
      </w:r>
      <w:r w:rsidRPr="00054D5E">
        <w:rPr>
          <w:sz w:val="22"/>
          <w:szCs w:val="22"/>
        </w:rPr>
        <w:t>period.</w:t>
      </w:r>
    </w:p>
    <w:p w14:paraId="0E8DBC99" w14:textId="63C6146E" w:rsidR="00E34FC4" w:rsidRPr="00054D5E" w:rsidRDefault="00E34FC4" w:rsidP="00A45DF6">
      <w:pPr>
        <w:pStyle w:val="NoSpacing"/>
        <w:ind w:firstLine="450"/>
        <w:jc w:val="both"/>
        <w:rPr>
          <w:sz w:val="22"/>
          <w:szCs w:val="22"/>
        </w:rPr>
      </w:pPr>
    </w:p>
    <w:p w14:paraId="410AA078" w14:textId="220D54AA" w:rsidR="00E34FC4" w:rsidRPr="00054D5E" w:rsidRDefault="00F92FB1" w:rsidP="00A45DF6">
      <w:pPr>
        <w:pStyle w:val="NoSpacing"/>
        <w:ind w:firstLine="450"/>
        <w:jc w:val="both"/>
        <w:rPr>
          <w:sz w:val="22"/>
          <w:szCs w:val="22"/>
        </w:rPr>
      </w:pPr>
      <w:r w:rsidRPr="00054D5E">
        <w:rPr>
          <w:sz w:val="22"/>
          <w:szCs w:val="22"/>
          <w:u w:val="single"/>
        </w:rPr>
        <w:t>Note</w:t>
      </w:r>
      <w:r w:rsidRPr="00054D5E">
        <w:rPr>
          <w:sz w:val="22"/>
          <w:szCs w:val="22"/>
        </w:rPr>
        <w:t xml:space="preserve">: </w:t>
      </w:r>
      <w:r w:rsidR="00E34FC4" w:rsidRPr="00054D5E">
        <w:rPr>
          <w:sz w:val="22"/>
          <w:szCs w:val="22"/>
          <w:u w:val="single"/>
        </w:rPr>
        <w:t>L.L.S.–P.</w:t>
      </w:r>
      <w:r w:rsidR="00E34FC4" w:rsidRPr="00054D5E">
        <w:rPr>
          <w:sz w:val="22"/>
          <w:szCs w:val="22"/>
        </w:rPr>
        <w:t xml:space="preserve"> was decided on plain-error review because trial counsel did not object at the jury instruction and verdict conference. 2025 WI App 69, </w:t>
      </w:r>
      <w:r w:rsidR="00A51D8A" w:rsidRPr="00054D5E">
        <w:rPr>
          <w:sz w:val="22"/>
          <w:szCs w:val="22"/>
        </w:rPr>
        <w:t>¶¶30, 36–42</w:t>
      </w:r>
      <w:r w:rsidR="00E34FC4" w:rsidRPr="00054D5E">
        <w:rPr>
          <w:sz w:val="22"/>
          <w:szCs w:val="22"/>
        </w:rPr>
        <w:t>. The court nevertheless reversed the termination order, concluding that</w:t>
      </w:r>
      <w:r w:rsidRPr="00054D5E">
        <w:rPr>
          <w:sz w:val="22"/>
          <w:szCs w:val="22"/>
        </w:rPr>
        <w:t xml:space="preserve"> the failure to require separate consideration and separate verdict forms for each alleged abandonment period was plain error and was not harmless.</w:t>
      </w:r>
    </w:p>
    <w:p w14:paraId="1F0972CB" w14:textId="77777777" w:rsidR="00A45DF6" w:rsidRPr="00054D5E" w:rsidRDefault="00A45DF6" w:rsidP="00A45DF6">
      <w:pPr>
        <w:pStyle w:val="NoSpacing"/>
        <w:ind w:firstLine="450"/>
        <w:jc w:val="both"/>
        <w:rPr>
          <w:sz w:val="22"/>
          <w:szCs w:val="22"/>
        </w:rPr>
      </w:pPr>
    </w:p>
    <w:p w14:paraId="6329DE80" w14:textId="5D6A264D" w:rsidR="00A45DF6" w:rsidRPr="00054D5E" w:rsidRDefault="00A45DF6" w:rsidP="00EA46DD">
      <w:pPr>
        <w:pStyle w:val="NoSpacing"/>
        <w:ind w:firstLine="450"/>
        <w:jc w:val="both"/>
        <w:rPr>
          <w:sz w:val="22"/>
          <w:szCs w:val="22"/>
        </w:rPr>
      </w:pPr>
      <w:r w:rsidRPr="00054D5E">
        <w:rPr>
          <w:sz w:val="22"/>
          <w:szCs w:val="22"/>
        </w:rPr>
        <w:t xml:space="preserve">The rule adopted in </w:t>
      </w:r>
      <w:r w:rsidRPr="00054D5E">
        <w:rPr>
          <w:sz w:val="22"/>
          <w:szCs w:val="22"/>
          <w:u w:val="single"/>
        </w:rPr>
        <w:t>L.L.S.–P</w:t>
      </w:r>
      <w:r w:rsidRPr="00054D5E">
        <w:rPr>
          <w:sz w:val="22"/>
          <w:szCs w:val="22"/>
        </w:rPr>
        <w:t xml:space="preserve">. </w:t>
      </w:r>
      <w:r w:rsidR="00E34FC4" w:rsidRPr="00054D5E">
        <w:rPr>
          <w:sz w:val="22"/>
          <w:szCs w:val="22"/>
        </w:rPr>
        <w:t xml:space="preserve">is best understood, in the Committee’s view, as a </w:t>
      </w:r>
      <w:r w:rsidRPr="00054D5E">
        <w:rPr>
          <w:sz w:val="22"/>
          <w:szCs w:val="22"/>
        </w:rPr>
        <w:t xml:space="preserve">targeted application of § 805.09(2) specific to the abandonment ground, and it should be read against the general civil rule that an affirmative defense is typically treated as distinct from the claim for purposes of juror agreement. See </w:t>
      </w:r>
      <w:r w:rsidRPr="00054D5E">
        <w:rPr>
          <w:sz w:val="22"/>
          <w:szCs w:val="22"/>
          <w:u w:val="single"/>
        </w:rPr>
        <w:t>Giese v. Montgomery Ward, Inc.</w:t>
      </w:r>
      <w:r w:rsidRPr="00054D5E">
        <w:rPr>
          <w:sz w:val="22"/>
          <w:szCs w:val="22"/>
        </w:rPr>
        <w:t xml:space="preserve">, 111 Wis. 2d 392, 331 N.W.2d 585 (1983); </w:t>
      </w:r>
      <w:proofErr w:type="spellStart"/>
      <w:r w:rsidRPr="00054D5E">
        <w:rPr>
          <w:sz w:val="22"/>
          <w:szCs w:val="22"/>
          <w:u w:val="single"/>
        </w:rPr>
        <w:t>DeClerc</w:t>
      </w:r>
      <w:proofErr w:type="spellEnd"/>
      <w:r w:rsidRPr="00054D5E">
        <w:rPr>
          <w:sz w:val="22"/>
          <w:szCs w:val="22"/>
          <w:u w:val="single"/>
        </w:rPr>
        <w:t xml:space="preserve"> v. Bellin </w:t>
      </w:r>
      <w:proofErr w:type="spellStart"/>
      <w:r w:rsidRPr="00054D5E">
        <w:rPr>
          <w:sz w:val="22"/>
          <w:szCs w:val="22"/>
          <w:u w:val="single"/>
        </w:rPr>
        <w:t>Mem’l</w:t>
      </w:r>
      <w:proofErr w:type="spellEnd"/>
      <w:r w:rsidRPr="00054D5E">
        <w:rPr>
          <w:sz w:val="22"/>
          <w:szCs w:val="22"/>
          <w:u w:val="single"/>
        </w:rPr>
        <w:t xml:space="preserve"> Hosp.</w:t>
      </w:r>
      <w:r w:rsidRPr="00054D5E">
        <w:rPr>
          <w:sz w:val="22"/>
          <w:szCs w:val="22"/>
        </w:rPr>
        <w:t xml:space="preserve">, 229 Wis. 2d 253, </w:t>
      </w:r>
      <w:r w:rsidR="005F132B" w:rsidRPr="005F132B">
        <w:rPr>
          <w:sz w:val="22"/>
          <w:szCs w:val="22"/>
        </w:rPr>
        <w:t>599 N.W.2d 666</w:t>
      </w:r>
      <w:r w:rsidRPr="00054D5E">
        <w:rPr>
          <w:sz w:val="22"/>
          <w:szCs w:val="22"/>
        </w:rPr>
        <w:t xml:space="preserve"> (Ct. App. 1999). Under </w:t>
      </w:r>
      <w:r w:rsidRPr="00054D5E">
        <w:rPr>
          <w:sz w:val="22"/>
          <w:szCs w:val="22"/>
          <w:u w:val="single"/>
        </w:rPr>
        <w:t>Giese</w:t>
      </w:r>
      <w:r w:rsidRPr="00054D5E">
        <w:rPr>
          <w:sz w:val="22"/>
          <w:szCs w:val="22"/>
        </w:rPr>
        <w:t xml:space="preserve"> and </w:t>
      </w:r>
      <w:proofErr w:type="spellStart"/>
      <w:r w:rsidRPr="00054D5E">
        <w:rPr>
          <w:sz w:val="22"/>
          <w:szCs w:val="22"/>
          <w:u w:val="single"/>
        </w:rPr>
        <w:t>DeClerc</w:t>
      </w:r>
      <w:proofErr w:type="spellEnd"/>
      <w:r w:rsidRPr="00054D5E">
        <w:rPr>
          <w:sz w:val="22"/>
          <w:szCs w:val="22"/>
        </w:rPr>
        <w:t xml:space="preserve">, different groups of five-sixths jurors may form the majority on a claim and on an affirmative defense, so long as each receives the required concurrence. </w:t>
      </w:r>
      <w:r w:rsidRPr="00054D5E">
        <w:rPr>
          <w:sz w:val="22"/>
          <w:szCs w:val="22"/>
          <w:u w:val="single"/>
        </w:rPr>
        <w:t>L.L.S.–P</w:t>
      </w:r>
      <w:r w:rsidRPr="00054D5E">
        <w:rPr>
          <w:sz w:val="22"/>
          <w:szCs w:val="22"/>
        </w:rPr>
        <w:t>.</w:t>
      </w:r>
      <w:r w:rsidR="00EA46DD" w:rsidRPr="00054D5E">
        <w:rPr>
          <w:sz w:val="22"/>
          <w:szCs w:val="22"/>
        </w:rPr>
        <w:t xml:space="preserve"> treats abandonment differently from the ordinary claim/defense dichotomy </w:t>
      </w:r>
      <w:r w:rsidRPr="00054D5E">
        <w:rPr>
          <w:sz w:val="22"/>
          <w:szCs w:val="22"/>
        </w:rPr>
        <w:t>because the statutory good-cause defense under § 48.415(1)(c) is, by the legislature’s design, an integral part of the abandonment ground rather than an independent issue.</w:t>
      </w:r>
    </w:p>
    <w:p w14:paraId="2753BF85" w14:textId="77777777" w:rsidR="00C56C06" w:rsidRPr="00054D5E" w:rsidRDefault="00C56C06" w:rsidP="00C56C06">
      <w:pPr>
        <w:pStyle w:val="NoSpacing"/>
        <w:ind w:firstLine="450"/>
        <w:jc w:val="both"/>
        <w:rPr>
          <w:sz w:val="22"/>
          <w:szCs w:val="22"/>
        </w:rPr>
      </w:pPr>
    </w:p>
    <w:p w14:paraId="4CE63831" w14:textId="06F7A5AD" w:rsidR="004B6248" w:rsidRPr="00054D5E" w:rsidRDefault="00C56C06" w:rsidP="00F92FB1">
      <w:pPr>
        <w:pStyle w:val="NoSpacing"/>
        <w:ind w:firstLine="450"/>
        <w:jc w:val="both"/>
        <w:rPr>
          <w:sz w:val="22"/>
          <w:szCs w:val="22"/>
        </w:rPr>
      </w:pPr>
      <w:r w:rsidRPr="00054D5E">
        <w:rPr>
          <w:sz w:val="22"/>
          <w:szCs w:val="22"/>
        </w:rPr>
        <w:t xml:space="preserve">While </w:t>
      </w:r>
      <w:r w:rsidRPr="00054D5E">
        <w:rPr>
          <w:sz w:val="22"/>
          <w:szCs w:val="22"/>
          <w:u w:val="single"/>
        </w:rPr>
        <w:t>L.L.S.–P.</w:t>
      </w:r>
      <w:r w:rsidRPr="00054D5E">
        <w:rPr>
          <w:sz w:val="22"/>
          <w:szCs w:val="22"/>
        </w:rPr>
        <w:t xml:space="preserve"> resolved this issue for abandonment, the application of the five-sixths rule to defenses raised under other termination of parental rights grounds remains unsettled, as no published Wisconsin case has addressed whether other grounds and associated defenses constitute a single “claim” under § 805.09(2).</w:t>
      </w:r>
    </w:p>
    <w:p w14:paraId="36113273" w14:textId="77777777" w:rsidR="00F92FB1" w:rsidRPr="00054D5E" w:rsidRDefault="00F92FB1" w:rsidP="00F92FB1">
      <w:pPr>
        <w:pStyle w:val="NoSpacing"/>
        <w:ind w:firstLine="450"/>
        <w:jc w:val="both"/>
        <w:rPr>
          <w:sz w:val="22"/>
          <w:szCs w:val="22"/>
        </w:rPr>
      </w:pPr>
    </w:p>
    <w:p w14:paraId="37068D16" w14:textId="7A856074" w:rsidR="004B6248" w:rsidRPr="00054D5E" w:rsidRDefault="004B6248" w:rsidP="00AE170F">
      <w:pPr>
        <w:pStyle w:val="NoSpacing"/>
        <w:ind w:firstLine="450"/>
        <w:jc w:val="both"/>
        <w:rPr>
          <w:sz w:val="22"/>
          <w:szCs w:val="22"/>
        </w:rPr>
      </w:pPr>
      <w:r w:rsidRPr="00054D5E">
        <w:rPr>
          <w:b/>
          <w:bCs/>
          <w:sz w:val="22"/>
          <w:szCs w:val="22"/>
        </w:rPr>
        <w:t>Separate Verdict for Each Child; Each Parent; Each Ground</w:t>
      </w:r>
      <w:r w:rsidR="00A45DF6" w:rsidRPr="00054D5E">
        <w:rPr>
          <w:b/>
          <w:bCs/>
          <w:sz w:val="22"/>
          <w:szCs w:val="22"/>
        </w:rPr>
        <w:t>; and</w:t>
      </w:r>
      <w:r w:rsidR="00E34FC4" w:rsidRPr="00054D5E">
        <w:rPr>
          <w:b/>
          <w:bCs/>
          <w:sz w:val="22"/>
          <w:szCs w:val="22"/>
        </w:rPr>
        <w:t xml:space="preserve"> </w:t>
      </w:r>
      <w:r w:rsidR="00A45DF6" w:rsidRPr="00054D5E">
        <w:rPr>
          <w:b/>
          <w:bCs/>
          <w:sz w:val="22"/>
          <w:szCs w:val="22"/>
        </w:rPr>
        <w:t>Each Alleged Period of Abandonment.</w:t>
      </w:r>
      <w:r w:rsidR="00A45DF6" w:rsidRPr="00054D5E">
        <w:rPr>
          <w:sz w:val="22"/>
          <w:szCs w:val="22"/>
        </w:rPr>
        <w:t xml:space="preserve"> </w:t>
      </w:r>
      <w:r w:rsidRPr="00054D5E">
        <w:rPr>
          <w:sz w:val="22"/>
          <w:szCs w:val="22"/>
        </w:rPr>
        <w:t>The Committee recommends that the trial judge submit separate verdicts for each chil</w:t>
      </w:r>
      <w:r w:rsidR="00E34FC4" w:rsidRPr="00054D5E">
        <w:rPr>
          <w:sz w:val="22"/>
          <w:szCs w:val="22"/>
        </w:rPr>
        <w:t xml:space="preserve">d, </w:t>
      </w:r>
      <w:r w:rsidR="005F4B94" w:rsidRPr="00054D5E">
        <w:rPr>
          <w:sz w:val="22"/>
          <w:szCs w:val="22"/>
        </w:rPr>
        <w:t xml:space="preserve">for </w:t>
      </w:r>
      <w:r w:rsidRPr="00054D5E">
        <w:rPr>
          <w:sz w:val="22"/>
          <w:szCs w:val="22"/>
        </w:rPr>
        <w:t>each parent</w:t>
      </w:r>
      <w:r w:rsidR="00E34FC4" w:rsidRPr="00054D5E">
        <w:rPr>
          <w:sz w:val="22"/>
          <w:szCs w:val="22"/>
        </w:rPr>
        <w:t>,</w:t>
      </w:r>
      <w:r w:rsidRPr="00054D5E">
        <w:rPr>
          <w:sz w:val="22"/>
          <w:szCs w:val="22"/>
        </w:rPr>
        <w:t xml:space="preserve"> </w:t>
      </w:r>
      <w:r w:rsidR="005F4B94" w:rsidRPr="00054D5E">
        <w:rPr>
          <w:sz w:val="22"/>
          <w:szCs w:val="22"/>
        </w:rPr>
        <w:t xml:space="preserve">for </w:t>
      </w:r>
      <w:r w:rsidR="00A45DF6" w:rsidRPr="00054D5E">
        <w:rPr>
          <w:sz w:val="22"/>
          <w:szCs w:val="22"/>
        </w:rPr>
        <w:t>each ground alleged in the petition</w:t>
      </w:r>
      <w:r w:rsidR="005F4B94" w:rsidRPr="00054D5E">
        <w:rPr>
          <w:sz w:val="22"/>
          <w:szCs w:val="22"/>
        </w:rPr>
        <w:t>,</w:t>
      </w:r>
      <w:r w:rsidR="00A45DF6" w:rsidRPr="00054D5E">
        <w:rPr>
          <w:sz w:val="22"/>
          <w:szCs w:val="22"/>
        </w:rPr>
        <w:t xml:space="preserve"> and, where abandonment</w:t>
      </w:r>
      <w:r w:rsidR="005F4B94" w:rsidRPr="00054D5E">
        <w:rPr>
          <w:sz w:val="22"/>
          <w:szCs w:val="22"/>
        </w:rPr>
        <w:t xml:space="preserve"> is alleged</w:t>
      </w:r>
      <w:r w:rsidR="00A45DF6" w:rsidRPr="00054D5E">
        <w:rPr>
          <w:sz w:val="22"/>
          <w:szCs w:val="22"/>
        </w:rPr>
        <w:t xml:space="preserve"> during more than one time period, </w:t>
      </w:r>
      <w:r w:rsidR="00F92FB1" w:rsidRPr="00054D5E">
        <w:rPr>
          <w:sz w:val="22"/>
          <w:szCs w:val="22"/>
        </w:rPr>
        <w:t>a separate verdict form for each alleged abandonment period. That form should identify the specific dates of the period being submitted</w:t>
      </w:r>
      <w:r w:rsidR="00AE170F" w:rsidRPr="00054D5E">
        <w:rPr>
          <w:sz w:val="22"/>
          <w:szCs w:val="22"/>
        </w:rPr>
        <w:t>.</w:t>
      </w:r>
      <w:r w:rsidR="00A45DF6" w:rsidRPr="00054D5E">
        <w:rPr>
          <w:sz w:val="22"/>
          <w:szCs w:val="22"/>
        </w:rPr>
        <w:t xml:space="preserve"> See </w:t>
      </w:r>
      <w:r w:rsidR="00A45DF6" w:rsidRPr="00054D5E">
        <w:rPr>
          <w:sz w:val="22"/>
          <w:szCs w:val="22"/>
          <w:u w:val="single"/>
        </w:rPr>
        <w:t>In re L.L.S.</w:t>
      </w:r>
      <w:r w:rsidR="008E57A5">
        <w:rPr>
          <w:sz w:val="22"/>
          <w:szCs w:val="22"/>
          <w:u w:val="single"/>
        </w:rPr>
        <w:t>-</w:t>
      </w:r>
      <w:r w:rsidR="00A45DF6" w:rsidRPr="00054D5E">
        <w:rPr>
          <w:sz w:val="22"/>
          <w:szCs w:val="22"/>
          <w:u w:val="single"/>
        </w:rPr>
        <w:t>P.</w:t>
      </w:r>
      <w:r w:rsidR="00A45DF6" w:rsidRPr="00054D5E">
        <w:rPr>
          <w:sz w:val="22"/>
          <w:szCs w:val="22"/>
        </w:rPr>
        <w:t>, 2025 WI App 69, ¶¶43–48, 418 Wis. 2d 654, 28 N.W.3d 232.</w:t>
      </w:r>
    </w:p>
    <w:p w14:paraId="211366D9" w14:textId="62F421DC" w:rsidR="001D4A44" w:rsidRPr="00054D5E" w:rsidRDefault="001D4A44" w:rsidP="00AE170F">
      <w:pPr>
        <w:pStyle w:val="NoSpacing"/>
        <w:ind w:firstLine="450"/>
        <w:jc w:val="both"/>
        <w:rPr>
          <w:sz w:val="22"/>
          <w:szCs w:val="22"/>
        </w:rPr>
      </w:pPr>
    </w:p>
    <w:p w14:paraId="4AC3EA69" w14:textId="636AAF42" w:rsidR="001D4A44" w:rsidRPr="00054D5E" w:rsidRDefault="001D4A44" w:rsidP="00AE170F">
      <w:pPr>
        <w:pStyle w:val="NoSpacing"/>
        <w:ind w:firstLine="450"/>
        <w:jc w:val="both"/>
        <w:rPr>
          <w:sz w:val="22"/>
          <w:szCs w:val="22"/>
        </w:rPr>
      </w:pPr>
      <w:r w:rsidRPr="00054D5E">
        <w:rPr>
          <w:sz w:val="22"/>
          <w:szCs w:val="22"/>
        </w:rPr>
        <w:t>When multiple periods of abandonment are submitted, the model verdict questions in Wis JI–Children 314 should be repeated for each alleged period, with the dates of the specific period inserted in question 3 and in each of the dependent good-cause questions (questions 4–7) tied to that period. The verdict form should make clear that the jury is to answer each set of questions independently as to each period.</w:t>
      </w:r>
    </w:p>
    <w:p w14:paraId="22809BE0" w14:textId="332EEDCA" w:rsidR="00E34FC4" w:rsidRPr="00A45DF6" w:rsidRDefault="00E34FC4" w:rsidP="005F4B94">
      <w:pPr>
        <w:pStyle w:val="NoSpacing"/>
        <w:jc w:val="both"/>
        <w:rPr>
          <w:color w:val="C00000"/>
          <w:sz w:val="22"/>
          <w:szCs w:val="22"/>
        </w:rPr>
      </w:pPr>
    </w:p>
    <w:sectPr w:rsidR="00E34FC4" w:rsidRPr="00A45DF6" w:rsidSect="00054D5E">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5D787" w14:textId="77777777" w:rsidR="004B6248" w:rsidRDefault="004B6248" w:rsidP="004B6248">
      <w:r>
        <w:separator/>
      </w:r>
    </w:p>
  </w:endnote>
  <w:endnote w:type="continuationSeparator" w:id="0">
    <w:p w14:paraId="74C42652" w14:textId="77777777" w:rsidR="004B6248" w:rsidRDefault="004B6248" w:rsidP="004B6248">
      <w:r>
        <w:continuationSeparator/>
      </w:r>
    </w:p>
  </w:endnote>
  <w:endnote w:id="1">
    <w:p w14:paraId="6DBB1F82" w14:textId="3EB4B0F1" w:rsidR="00AB45BF" w:rsidRPr="00054D5E" w:rsidRDefault="00AB45BF" w:rsidP="00AB45BF">
      <w:pPr>
        <w:pStyle w:val="EndnoteText"/>
        <w:tabs>
          <w:tab w:val="left" w:pos="900"/>
        </w:tabs>
        <w:ind w:firstLine="450"/>
      </w:pPr>
    </w:p>
    <w:p w14:paraId="34F4EAFD" w14:textId="0E5F70FF" w:rsidR="00AB45BF" w:rsidRPr="00A06F31" w:rsidRDefault="00AB45BF" w:rsidP="00AB45BF">
      <w:pPr>
        <w:pStyle w:val="EndnoteText"/>
        <w:tabs>
          <w:tab w:val="left" w:pos="900"/>
        </w:tabs>
        <w:rPr>
          <w:b/>
          <w:bCs/>
          <w:sz w:val="22"/>
          <w:szCs w:val="22"/>
        </w:rPr>
      </w:pPr>
      <w:r w:rsidRPr="00A06F31">
        <w:rPr>
          <w:b/>
          <w:bCs/>
          <w:sz w:val="22"/>
          <w:szCs w:val="22"/>
        </w:rPr>
        <w:t>NOTES</w:t>
      </w:r>
    </w:p>
    <w:p w14:paraId="7DC2E923" w14:textId="77777777" w:rsidR="00AB45BF" w:rsidRPr="00A06F31" w:rsidRDefault="00AB45BF" w:rsidP="00AB45BF">
      <w:pPr>
        <w:pStyle w:val="EndnoteText"/>
        <w:tabs>
          <w:tab w:val="left" w:pos="900"/>
        </w:tabs>
        <w:ind w:firstLine="450"/>
        <w:rPr>
          <w:sz w:val="22"/>
          <w:szCs w:val="22"/>
        </w:rPr>
      </w:pPr>
    </w:p>
    <w:p w14:paraId="1B35DAE6" w14:textId="077AABC8" w:rsidR="00C56C06" w:rsidRPr="00A06F31" w:rsidRDefault="00AB45BF" w:rsidP="00C21F3A">
      <w:pPr>
        <w:pStyle w:val="EndnoteText"/>
        <w:tabs>
          <w:tab w:val="left" w:pos="900"/>
        </w:tabs>
        <w:ind w:firstLine="450"/>
        <w:jc w:val="both"/>
        <w:rPr>
          <w:sz w:val="22"/>
          <w:szCs w:val="22"/>
        </w:rPr>
      </w:pPr>
      <w:r w:rsidRPr="00A06F31">
        <w:rPr>
          <w:sz w:val="22"/>
          <w:szCs w:val="22"/>
        </w:rPr>
        <w:endnoteRef/>
      </w:r>
      <w:r w:rsidRPr="00A06F31">
        <w:rPr>
          <w:sz w:val="22"/>
          <w:szCs w:val="22"/>
        </w:rPr>
        <w:t xml:space="preserve">. </w:t>
      </w:r>
      <w:r w:rsidRPr="00A06F31">
        <w:rPr>
          <w:sz w:val="22"/>
          <w:szCs w:val="22"/>
        </w:rPr>
        <w:tab/>
        <w:t xml:space="preserve">Different </w:t>
      </w:r>
      <w:r w:rsidR="00A45DF6" w:rsidRPr="00A06F31">
        <w:rPr>
          <w:sz w:val="22"/>
          <w:szCs w:val="22"/>
        </w:rPr>
        <w:t>claims may be decided by different groups of five-sixths of the jurors, so long as the required number of jurors agree on each claim. When more than one question is required to resolve a single claim, however, the same five-sixths of jurors must agree on all such questions. In cases alleging abandonment under Wis. Stat. § 48.415(1)(a)</w:t>
      </w:r>
      <w:r w:rsidR="00AF5A68" w:rsidRPr="00A06F31">
        <w:rPr>
          <w:sz w:val="22"/>
          <w:szCs w:val="22"/>
        </w:rPr>
        <w:t xml:space="preserve"> 2. or 3.</w:t>
      </w:r>
      <w:r w:rsidR="00A45DF6" w:rsidRPr="00A06F31">
        <w:rPr>
          <w:sz w:val="22"/>
          <w:szCs w:val="22"/>
        </w:rPr>
        <w:t>, the statutory good-cause defense under § 48.415(1)(c)</w:t>
      </w:r>
      <w:r w:rsidR="00AF5A68" w:rsidRPr="00A06F31">
        <w:rPr>
          <w:sz w:val="22"/>
          <w:szCs w:val="22"/>
        </w:rPr>
        <w:t xml:space="preserve"> must be resolved as part of the same abandonment ground for purposes of juror agreement on all questions necessary to decide that ground. </w:t>
      </w:r>
      <w:r w:rsidR="00A45DF6" w:rsidRPr="00A06F31">
        <w:rPr>
          <w:sz w:val="22"/>
          <w:szCs w:val="22"/>
        </w:rPr>
        <w:t xml:space="preserve">See Wis. Stat. § 805.09(2); </w:t>
      </w:r>
      <w:r w:rsidR="00C56C06" w:rsidRPr="00A06F31">
        <w:rPr>
          <w:sz w:val="22"/>
          <w:szCs w:val="22"/>
          <w:u w:val="single"/>
        </w:rPr>
        <w:t>In re L.L.S.</w:t>
      </w:r>
      <w:r w:rsidR="00EE15E8">
        <w:rPr>
          <w:sz w:val="22"/>
          <w:szCs w:val="22"/>
          <w:u w:val="single"/>
        </w:rPr>
        <w:t>-</w:t>
      </w:r>
      <w:r w:rsidR="00C56C06" w:rsidRPr="00A06F31">
        <w:rPr>
          <w:sz w:val="22"/>
          <w:szCs w:val="22"/>
          <w:u w:val="single"/>
        </w:rPr>
        <w:t>P.</w:t>
      </w:r>
      <w:r w:rsidR="00C56C06" w:rsidRPr="00A06F31">
        <w:rPr>
          <w:sz w:val="22"/>
          <w:szCs w:val="22"/>
        </w:rPr>
        <w:t xml:space="preserve">, 2025 WI App 69, 418 Wis. 2d 654, 28 N.W.3d 232. </w:t>
      </w:r>
    </w:p>
    <w:p w14:paraId="6224C662" w14:textId="7C1B65F2" w:rsidR="00AB45BF" w:rsidRPr="00A06F31" w:rsidRDefault="00AB45BF" w:rsidP="00AB45BF">
      <w:pPr>
        <w:pStyle w:val="EndnoteText"/>
        <w:tabs>
          <w:tab w:val="left" w:pos="900"/>
        </w:tabs>
        <w:ind w:firstLine="450"/>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182B1" w14:textId="77777777" w:rsidR="00412023" w:rsidRDefault="004120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7500F" w14:textId="77777777" w:rsidR="004B6248" w:rsidRDefault="004B6248" w:rsidP="004B6248">
    <w:pPr>
      <w:pStyle w:val="Footer"/>
      <w:rPr>
        <w:rFonts w:ascii="Arial" w:hAnsi="Arial" w:cs="Arial"/>
        <w:sz w:val="20"/>
        <w:szCs w:val="20"/>
      </w:rPr>
    </w:pPr>
  </w:p>
  <w:p w14:paraId="6C273EA4" w14:textId="5264D6A2" w:rsidR="004B6248" w:rsidRPr="004B6248" w:rsidRDefault="004B6248" w:rsidP="004B6248">
    <w:pPr>
      <w:pStyle w:val="Footer"/>
      <w:rPr>
        <w:rFonts w:ascii="Arial" w:hAnsi="Arial" w:cs="Arial"/>
        <w:sz w:val="20"/>
        <w:szCs w:val="20"/>
      </w:rPr>
    </w:pPr>
    <w:r w:rsidRPr="004B6248">
      <w:rPr>
        <w:rFonts w:ascii="Arial" w:hAnsi="Arial" w:cs="Arial"/>
        <w:sz w:val="20"/>
        <w:szCs w:val="20"/>
      </w:rPr>
      <w:t xml:space="preserve">Wisconsin Court System, </w:t>
    </w:r>
    <w:r w:rsidR="004609FC">
      <w:rPr>
        <w:rFonts w:ascii="Arial" w:hAnsi="Arial" w:cs="Arial"/>
        <w:sz w:val="20"/>
        <w:szCs w:val="20"/>
      </w:rPr>
      <w:t>7</w:t>
    </w:r>
    <w:r w:rsidRPr="004B6248">
      <w:rPr>
        <w:rFonts w:ascii="Arial" w:hAnsi="Arial" w:cs="Arial"/>
        <w:sz w:val="20"/>
        <w:szCs w:val="20"/>
      </w:rPr>
      <w:t>/202</w:t>
    </w:r>
    <w:r w:rsidR="00AB45BF">
      <w:rPr>
        <w:rFonts w:ascii="Arial" w:hAnsi="Arial" w:cs="Arial"/>
        <w:sz w:val="20"/>
        <w:szCs w:val="20"/>
      </w:rPr>
      <w:t>6</w:t>
    </w:r>
    <w:r w:rsidRPr="004B6248">
      <w:rPr>
        <w:rFonts w:ascii="Arial" w:hAnsi="Arial" w:cs="Arial"/>
        <w:sz w:val="20"/>
        <w:szCs w:val="20"/>
      </w:rPr>
      <w:tab/>
    </w:r>
    <w:r w:rsidRPr="004B6248">
      <w:rPr>
        <w:rFonts w:ascii="Arial" w:hAnsi="Arial" w:cs="Arial"/>
        <w:sz w:val="20"/>
        <w:szCs w:val="20"/>
      </w:rPr>
      <w:tab/>
      <w:t>(</w:t>
    </w:r>
    <w:r w:rsidR="00412023">
      <w:rPr>
        <w:rFonts w:ascii="Arial" w:hAnsi="Arial" w:cs="Arial"/>
        <w:sz w:val="20"/>
        <w:szCs w:val="20"/>
      </w:rPr>
      <w:t>Release No. 6</w:t>
    </w:r>
    <w:r w:rsidRPr="004B6248">
      <w:rPr>
        <w:rFonts w:ascii="Arial" w:hAnsi="Arial" w:cs="Arial"/>
        <w:sz w:val="20"/>
        <w:szCs w:val="20"/>
      </w:rPr>
      <w:t>)</w:t>
    </w:r>
  </w:p>
  <w:p w14:paraId="389B08B3" w14:textId="77777777" w:rsidR="004B6248" w:rsidRPr="004B6248" w:rsidRDefault="00D756DA">
    <w:pPr>
      <w:pStyle w:val="Footer"/>
      <w:jc w:val="center"/>
      <w:rPr>
        <w:rFonts w:ascii="Arial" w:hAnsi="Arial" w:cs="Arial"/>
        <w:sz w:val="20"/>
        <w:szCs w:val="20"/>
      </w:rPr>
    </w:pPr>
    <w:sdt>
      <w:sdtPr>
        <w:rPr>
          <w:rFonts w:ascii="Arial" w:hAnsi="Arial" w:cs="Arial"/>
          <w:sz w:val="20"/>
          <w:szCs w:val="20"/>
        </w:rPr>
        <w:id w:val="-1759286803"/>
        <w:docPartObj>
          <w:docPartGallery w:val="Page Numbers (Bottom of Page)"/>
          <w:docPartUnique/>
        </w:docPartObj>
      </w:sdtPr>
      <w:sdtEndPr>
        <w:rPr>
          <w:noProof/>
        </w:rPr>
      </w:sdtEndPr>
      <w:sdtContent>
        <w:r w:rsidR="004B6248" w:rsidRPr="004B6248">
          <w:rPr>
            <w:rFonts w:ascii="Arial" w:hAnsi="Arial" w:cs="Arial"/>
            <w:sz w:val="20"/>
            <w:szCs w:val="20"/>
          </w:rPr>
          <w:fldChar w:fldCharType="begin"/>
        </w:r>
        <w:r w:rsidR="004B6248" w:rsidRPr="004B6248">
          <w:rPr>
            <w:rFonts w:ascii="Arial" w:hAnsi="Arial" w:cs="Arial"/>
            <w:sz w:val="20"/>
            <w:szCs w:val="20"/>
          </w:rPr>
          <w:instrText xml:space="preserve"> PAGE   \* MERGEFORMAT </w:instrText>
        </w:r>
        <w:r w:rsidR="004B6248" w:rsidRPr="004B6248">
          <w:rPr>
            <w:rFonts w:ascii="Arial" w:hAnsi="Arial" w:cs="Arial"/>
            <w:sz w:val="20"/>
            <w:szCs w:val="20"/>
          </w:rPr>
          <w:fldChar w:fldCharType="separate"/>
        </w:r>
        <w:r w:rsidR="008A79D1">
          <w:rPr>
            <w:rFonts w:ascii="Arial" w:hAnsi="Arial" w:cs="Arial"/>
            <w:noProof/>
            <w:sz w:val="20"/>
            <w:szCs w:val="20"/>
          </w:rPr>
          <w:t>2</w:t>
        </w:r>
        <w:r w:rsidR="004B6248" w:rsidRPr="004B6248">
          <w:rPr>
            <w:rFonts w:ascii="Arial" w:hAnsi="Arial" w:cs="Arial"/>
            <w:noProof/>
            <w:sz w:val="20"/>
            <w:szCs w:val="20"/>
          </w:rPr>
          <w:fldChar w:fldCharType="end"/>
        </w:r>
      </w:sdtContent>
    </w:sdt>
  </w:p>
  <w:p w14:paraId="2EA97CE4" w14:textId="77777777" w:rsidR="004B6248" w:rsidRDefault="004B6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4971E" w14:textId="77777777" w:rsidR="00412023" w:rsidRDefault="004120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F644E" w14:textId="77777777" w:rsidR="004B6248" w:rsidRDefault="004B6248" w:rsidP="004B6248">
      <w:r>
        <w:separator/>
      </w:r>
    </w:p>
  </w:footnote>
  <w:footnote w:type="continuationSeparator" w:id="0">
    <w:p w14:paraId="3EB87522" w14:textId="77777777" w:rsidR="004B6248" w:rsidRDefault="004B6248" w:rsidP="004B62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DFD35" w14:textId="77777777" w:rsidR="00412023" w:rsidRDefault="004120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3A7B4" w14:textId="77777777" w:rsidR="004B6248" w:rsidRDefault="004B6248" w:rsidP="004B6248">
    <w:pPr>
      <w:tabs>
        <w:tab w:val="center" w:pos="4680"/>
        <w:tab w:val="right" w:pos="9360"/>
      </w:tabs>
      <w:jc w:val="both"/>
      <w:rPr>
        <w:rFonts w:ascii="Arial" w:hAnsi="Arial" w:cs="Arial"/>
        <w:b/>
        <w:bCs/>
        <w:sz w:val="28"/>
        <w:szCs w:val="28"/>
      </w:rPr>
    </w:pPr>
  </w:p>
  <w:p w14:paraId="23954942" w14:textId="77777777" w:rsidR="004B6248" w:rsidRDefault="004B6248" w:rsidP="004B6248">
    <w:pPr>
      <w:tabs>
        <w:tab w:val="center" w:pos="4680"/>
        <w:tab w:val="right" w:pos="9360"/>
      </w:tabs>
      <w:jc w:val="both"/>
      <w:rPr>
        <w:rFonts w:ascii="Arial" w:hAnsi="Arial" w:cs="Arial"/>
        <w:b/>
        <w:bCs/>
        <w:sz w:val="28"/>
        <w:szCs w:val="28"/>
      </w:rPr>
    </w:pPr>
    <w:r w:rsidRPr="004B6248">
      <w:rPr>
        <w:rFonts w:ascii="Arial" w:hAnsi="Arial" w:cs="Arial"/>
        <w:b/>
        <w:bCs/>
        <w:sz w:val="28"/>
        <w:szCs w:val="28"/>
      </w:rPr>
      <w:t>185</w:t>
    </w:r>
    <w:r w:rsidRPr="004B6248">
      <w:rPr>
        <w:rFonts w:ascii="Arial" w:hAnsi="Arial" w:cs="Arial"/>
        <w:b/>
        <w:bCs/>
        <w:sz w:val="28"/>
        <w:szCs w:val="28"/>
      </w:rPr>
      <w:tab/>
      <w:t>WIS JI-CHILDREN</w:t>
    </w:r>
    <w:r w:rsidRPr="004B6248">
      <w:rPr>
        <w:rFonts w:ascii="Arial" w:hAnsi="Arial" w:cs="Arial"/>
        <w:b/>
        <w:bCs/>
        <w:sz w:val="28"/>
        <w:szCs w:val="28"/>
      </w:rPr>
      <w:tab/>
      <w:t>185</w:t>
    </w:r>
  </w:p>
  <w:p w14:paraId="31282A8A" w14:textId="77777777" w:rsidR="004B6248" w:rsidRDefault="004B6248" w:rsidP="004B6248">
    <w:pPr>
      <w:tabs>
        <w:tab w:val="center" w:pos="4680"/>
        <w:tab w:val="right" w:pos="9360"/>
      </w:tabs>
      <w:jc w:val="both"/>
      <w:rPr>
        <w:rFonts w:ascii="Arial" w:hAnsi="Arial" w:cs="Arial"/>
        <w:b/>
        <w:bCs/>
        <w:sz w:val="28"/>
        <w:szCs w:val="28"/>
      </w:rPr>
    </w:pPr>
  </w:p>
  <w:p w14:paraId="6CF4C77F" w14:textId="77777777" w:rsidR="004B6248" w:rsidRPr="004B6248" w:rsidRDefault="004B6248" w:rsidP="004B6248">
    <w:pPr>
      <w:tabs>
        <w:tab w:val="center" w:pos="4680"/>
        <w:tab w:val="right" w:pos="9360"/>
      </w:tabs>
      <w:jc w:val="both"/>
      <w:rPr>
        <w:rFonts w:ascii="Arial" w:hAnsi="Arial" w:cs="Arial"/>
        <w:b/>
        <w:bCs/>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4301B" w14:textId="77777777" w:rsidR="00412023" w:rsidRDefault="004120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248"/>
    <w:rsid w:val="000415E4"/>
    <w:rsid w:val="00054D5E"/>
    <w:rsid w:val="000A2482"/>
    <w:rsid w:val="00134689"/>
    <w:rsid w:val="001D4A44"/>
    <w:rsid w:val="002D490C"/>
    <w:rsid w:val="003421BC"/>
    <w:rsid w:val="00371BC9"/>
    <w:rsid w:val="003C765E"/>
    <w:rsid w:val="00412023"/>
    <w:rsid w:val="004609FC"/>
    <w:rsid w:val="004B6248"/>
    <w:rsid w:val="004B7235"/>
    <w:rsid w:val="00517015"/>
    <w:rsid w:val="005227A5"/>
    <w:rsid w:val="00551C5D"/>
    <w:rsid w:val="005F015A"/>
    <w:rsid w:val="005F132B"/>
    <w:rsid w:val="005F4B94"/>
    <w:rsid w:val="00612C43"/>
    <w:rsid w:val="006F0B51"/>
    <w:rsid w:val="00797B6C"/>
    <w:rsid w:val="007D6934"/>
    <w:rsid w:val="008A79D1"/>
    <w:rsid w:val="008E57A5"/>
    <w:rsid w:val="0091085E"/>
    <w:rsid w:val="009873E2"/>
    <w:rsid w:val="00990E7A"/>
    <w:rsid w:val="00A06F31"/>
    <w:rsid w:val="00A45DF6"/>
    <w:rsid w:val="00A51D8A"/>
    <w:rsid w:val="00AB45BF"/>
    <w:rsid w:val="00AE170F"/>
    <w:rsid w:val="00AF5A68"/>
    <w:rsid w:val="00C21F3A"/>
    <w:rsid w:val="00C25DDC"/>
    <w:rsid w:val="00C33937"/>
    <w:rsid w:val="00C56C06"/>
    <w:rsid w:val="00C82E3F"/>
    <w:rsid w:val="00D55C15"/>
    <w:rsid w:val="00D756DA"/>
    <w:rsid w:val="00E34FC4"/>
    <w:rsid w:val="00E91A70"/>
    <w:rsid w:val="00EA46DD"/>
    <w:rsid w:val="00EE15E8"/>
    <w:rsid w:val="00F3785A"/>
    <w:rsid w:val="00F7454B"/>
    <w:rsid w:val="00F92FB1"/>
    <w:rsid w:val="00FC1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EF3DE"/>
  <w15:chartTrackingRefBased/>
  <w15:docId w15:val="{4FEE9493-AEAB-41DA-979A-36E01AEEC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24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B624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248"/>
    <w:pPr>
      <w:widowControl/>
      <w:tabs>
        <w:tab w:val="center" w:pos="4680"/>
        <w:tab w:val="right" w:pos="9360"/>
      </w:tabs>
      <w:autoSpaceDE/>
      <w:autoSpaceDN/>
      <w:adjustRightInd/>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B6248"/>
  </w:style>
  <w:style w:type="paragraph" w:styleId="Footer">
    <w:name w:val="footer"/>
    <w:basedOn w:val="Normal"/>
    <w:link w:val="FooterChar"/>
    <w:uiPriority w:val="99"/>
    <w:unhideWhenUsed/>
    <w:rsid w:val="004B6248"/>
    <w:pPr>
      <w:widowControl/>
      <w:tabs>
        <w:tab w:val="center" w:pos="4680"/>
        <w:tab w:val="right" w:pos="9360"/>
      </w:tabs>
      <w:autoSpaceDE/>
      <w:autoSpaceDN/>
      <w:adjustRightInd/>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4B6248"/>
  </w:style>
  <w:style w:type="character" w:styleId="LineNumber">
    <w:name w:val="line number"/>
    <w:basedOn w:val="DefaultParagraphFont"/>
    <w:uiPriority w:val="99"/>
    <w:semiHidden/>
    <w:unhideWhenUsed/>
    <w:rsid w:val="004B6248"/>
  </w:style>
  <w:style w:type="character" w:customStyle="1" w:styleId="Heading1Char">
    <w:name w:val="Heading 1 Char"/>
    <w:basedOn w:val="DefaultParagraphFont"/>
    <w:link w:val="Heading1"/>
    <w:uiPriority w:val="9"/>
    <w:rsid w:val="004B6248"/>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4B624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italics">
    <w:name w:val="italics"/>
    <w:uiPriority w:val="99"/>
    <w:rsid w:val="004B6248"/>
    <w:rPr>
      <w:i/>
      <w:iCs/>
    </w:rPr>
  </w:style>
  <w:style w:type="paragraph" w:styleId="EndnoteText">
    <w:name w:val="endnote text"/>
    <w:basedOn w:val="Normal"/>
    <w:link w:val="EndnoteTextChar"/>
    <w:uiPriority w:val="99"/>
    <w:unhideWhenUsed/>
    <w:rsid w:val="00AB45BF"/>
    <w:rPr>
      <w:sz w:val="20"/>
      <w:szCs w:val="20"/>
    </w:rPr>
  </w:style>
  <w:style w:type="character" w:customStyle="1" w:styleId="EndnoteTextChar">
    <w:name w:val="Endnote Text Char"/>
    <w:basedOn w:val="DefaultParagraphFont"/>
    <w:link w:val="EndnoteText"/>
    <w:uiPriority w:val="99"/>
    <w:rsid w:val="00AB45BF"/>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AB45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650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D87BB-4196-44AE-94D6-1396B2A92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1482</Words>
  <Characters>8450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CCAP</Company>
  <LinksUpToDate>false</LinksUpToDate>
  <CharactersWithSpaces>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15</cp:revision>
  <cp:lastPrinted>2025-01-31T17:08:00Z</cp:lastPrinted>
  <dcterms:created xsi:type="dcterms:W3CDTF">2026-07-22T15:58:00Z</dcterms:created>
  <dcterms:modified xsi:type="dcterms:W3CDTF">2026-08-05T02:50:00Z</dcterms:modified>
</cp:coreProperties>
</file>