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69F0D4" w14:textId="2611A42D" w:rsidR="000F6FF2" w:rsidRPr="000F6FF2" w:rsidRDefault="000F6FF2" w:rsidP="000F6FF2">
      <w:pPr>
        <w:pStyle w:val="NoSpacing"/>
        <w:tabs>
          <w:tab w:val="left" w:pos="720"/>
        </w:tabs>
        <w:ind w:left="720" w:hanging="720"/>
        <w:jc w:val="both"/>
        <w:rPr>
          <w:rFonts w:ascii="Times New Roman" w:hAnsi="Times New Roman" w:cs="Times New Roman"/>
          <w:b/>
          <w:bCs/>
          <w:sz w:val="26"/>
          <w:szCs w:val="26"/>
        </w:rPr>
      </w:pPr>
      <w:r w:rsidRPr="000F6FF2">
        <w:rPr>
          <w:rFonts w:ascii="Times New Roman" w:hAnsi="Times New Roman" w:cs="Times New Roman"/>
          <w:b/>
          <w:bCs/>
          <w:sz w:val="26"/>
          <w:szCs w:val="26"/>
        </w:rPr>
        <w:t>301</w:t>
      </w:r>
      <w:r w:rsidRPr="000F6FF2">
        <w:rPr>
          <w:rFonts w:ascii="Times New Roman" w:hAnsi="Times New Roman" w:cs="Times New Roman"/>
          <w:b/>
          <w:bCs/>
          <w:sz w:val="26"/>
          <w:szCs w:val="26"/>
        </w:rPr>
        <w:tab/>
        <w:t>CONSIDERATION OF CHILD</w:t>
      </w:r>
      <w:r>
        <w:rPr>
          <w:rFonts w:ascii="Times New Roman" w:hAnsi="Times New Roman" w:cs="Times New Roman"/>
          <w:b/>
          <w:bCs/>
          <w:sz w:val="26"/>
          <w:szCs w:val="26"/>
        </w:rPr>
        <w:t>’</w:t>
      </w:r>
      <w:r w:rsidRPr="000F6FF2">
        <w:rPr>
          <w:rFonts w:ascii="Times New Roman" w:hAnsi="Times New Roman" w:cs="Times New Roman"/>
          <w:b/>
          <w:bCs/>
          <w:sz w:val="26"/>
          <w:szCs w:val="26"/>
        </w:rPr>
        <w:t>S BEST INTERESTS IN TERMINATION PROCEEDINGS</w:t>
      </w:r>
    </w:p>
    <w:p w14:paraId="7B48A471" w14:textId="17DBF867" w:rsidR="000F6FF2" w:rsidRDefault="000F6FF2" w:rsidP="000F6FF2">
      <w:pPr>
        <w:pStyle w:val="NoSpacing"/>
        <w:jc w:val="both"/>
        <w:rPr>
          <w:rFonts w:ascii="Times New Roman" w:hAnsi="Times New Roman" w:cs="Times New Roman"/>
          <w:sz w:val="26"/>
          <w:szCs w:val="26"/>
        </w:rPr>
      </w:pPr>
    </w:p>
    <w:p w14:paraId="4C611B44" w14:textId="77777777" w:rsidR="000F6FF2" w:rsidRPr="000F6FF2" w:rsidRDefault="000F6FF2" w:rsidP="000F6FF2">
      <w:pPr>
        <w:pStyle w:val="NoSpacing"/>
        <w:jc w:val="both"/>
        <w:rPr>
          <w:rFonts w:ascii="Times New Roman" w:hAnsi="Times New Roman" w:cs="Times New Roman"/>
          <w:sz w:val="26"/>
          <w:szCs w:val="26"/>
        </w:rPr>
      </w:pPr>
    </w:p>
    <w:p w14:paraId="2CD9826F" w14:textId="77777777" w:rsidR="000F6FF2" w:rsidRPr="001E5F46" w:rsidRDefault="000F6FF2" w:rsidP="000F6FF2">
      <w:pPr>
        <w:pStyle w:val="NoSpacing"/>
        <w:spacing w:line="480" w:lineRule="auto"/>
        <w:ind w:firstLine="450"/>
        <w:jc w:val="both"/>
        <w:rPr>
          <w:rFonts w:ascii="Times New Roman" w:hAnsi="Times New Roman" w:cs="Times New Roman"/>
          <w:sz w:val="26"/>
          <w:szCs w:val="26"/>
        </w:rPr>
      </w:pPr>
      <w:r w:rsidRPr="001E5F46">
        <w:rPr>
          <w:rFonts w:ascii="Times New Roman" w:hAnsi="Times New Roman" w:cs="Times New Roman"/>
          <w:sz w:val="26"/>
          <w:szCs w:val="26"/>
        </w:rPr>
        <w:t>I want to again emphasize that this hearing is only one part of a process that may result in termination of parental rights.</w:t>
      </w:r>
    </w:p>
    <w:p w14:paraId="2F6D9618" w14:textId="288E187A" w:rsidR="000F6FF2" w:rsidRPr="001E5F46" w:rsidRDefault="000F6FF2" w:rsidP="000F6FF2">
      <w:pPr>
        <w:pStyle w:val="NoSpacing"/>
        <w:spacing w:line="480" w:lineRule="auto"/>
        <w:ind w:firstLine="450"/>
        <w:jc w:val="both"/>
        <w:rPr>
          <w:rFonts w:ascii="Times New Roman" w:hAnsi="Times New Roman" w:cs="Times New Roman"/>
          <w:sz w:val="26"/>
          <w:szCs w:val="26"/>
        </w:rPr>
      </w:pPr>
      <w:r w:rsidRPr="001E5F46">
        <w:rPr>
          <w:rFonts w:ascii="Times New Roman" w:hAnsi="Times New Roman" w:cs="Times New Roman"/>
          <w:sz w:val="26"/>
          <w:szCs w:val="26"/>
        </w:rPr>
        <w:t xml:space="preserve">In this jury trial, the first phase of the proceedings, your responsibility is to determine what the facts are from all the evidence and answer the questions on the special verdict that will be submitted to you. Your answers will determine whether the State has proved that a ground or grounds for termination of parental rights exists. However, you are not being asked to decide </w:t>
      </w:r>
      <w:r w:rsidR="003B5D35">
        <w:rPr>
          <w:rFonts w:ascii="Times New Roman" w:hAnsi="Times New Roman" w:cs="Times New Roman"/>
          <w:sz w:val="26"/>
          <w:szCs w:val="26"/>
        </w:rPr>
        <w:t>if</w:t>
      </w:r>
      <w:r w:rsidRPr="001E5F46">
        <w:rPr>
          <w:rFonts w:ascii="Times New Roman" w:hAnsi="Times New Roman" w:cs="Times New Roman"/>
          <w:sz w:val="26"/>
          <w:szCs w:val="26"/>
        </w:rPr>
        <w:t xml:space="preserve"> parental rights should be terminated. Based on your answers to the questions on the special verdict, it will be my responsibility to conduct further proceedings and hearings, and it is solely and ultimately my responsibility to determine if parental rights should be terminated based upon factors the law requires a court to consider if grounds for termination of parental rights are proven.</w:t>
      </w:r>
      <w:r w:rsidRPr="001E5F46">
        <w:rPr>
          <w:rStyle w:val="EndnoteReference"/>
          <w:rFonts w:ascii="Times New Roman" w:hAnsi="Times New Roman" w:cs="Times New Roman"/>
          <w:sz w:val="26"/>
          <w:szCs w:val="26"/>
        </w:rPr>
        <w:endnoteReference w:id="1"/>
      </w:r>
      <w:r w:rsidRPr="001E5F46">
        <w:rPr>
          <w:rFonts w:ascii="Times New Roman" w:hAnsi="Times New Roman" w:cs="Times New Roman"/>
          <w:sz w:val="26"/>
          <w:szCs w:val="26"/>
        </w:rPr>
        <w:t xml:space="preserve"> You should not be concerned with what the final result of this jury proceeding might be, and you should not be concerned with what the final result of this entire lawsuit might be.</w:t>
      </w:r>
    </w:p>
    <w:p w14:paraId="2149E674" w14:textId="6853A01F" w:rsidR="000F6FF2" w:rsidRPr="001E5F46" w:rsidRDefault="000F6FF2" w:rsidP="00B04299">
      <w:pPr>
        <w:pStyle w:val="NoSpacing"/>
        <w:spacing w:line="480" w:lineRule="auto"/>
        <w:ind w:firstLine="450"/>
        <w:jc w:val="both"/>
        <w:rPr>
          <w:rFonts w:ascii="Times New Roman" w:hAnsi="Times New Roman" w:cs="Times New Roman"/>
          <w:sz w:val="26"/>
          <w:szCs w:val="26"/>
        </w:rPr>
      </w:pPr>
      <w:r w:rsidRPr="001E5F46">
        <w:rPr>
          <w:rFonts w:ascii="Times New Roman" w:hAnsi="Times New Roman" w:cs="Times New Roman"/>
          <w:sz w:val="26"/>
          <w:szCs w:val="26"/>
        </w:rPr>
        <w:t>Consideration of the best interests of the child is a matter for the court in proceedings which will be conducted in the future; it is not a consideration for the jury.</w:t>
      </w:r>
    </w:p>
    <w:p w14:paraId="27EEFBD0" w14:textId="77777777" w:rsidR="000F6FF2" w:rsidRPr="001E5F46" w:rsidRDefault="000F6FF2" w:rsidP="000F6FF2">
      <w:pPr>
        <w:pStyle w:val="NoSpacing"/>
        <w:jc w:val="both"/>
        <w:rPr>
          <w:rFonts w:ascii="Times New Roman" w:hAnsi="Times New Roman" w:cs="Times New Roman"/>
          <w:sz w:val="26"/>
          <w:szCs w:val="26"/>
        </w:rPr>
      </w:pPr>
    </w:p>
    <w:p w14:paraId="12AA83A4" w14:textId="2B16E229" w:rsidR="000F6FF2" w:rsidRPr="001E5F46" w:rsidRDefault="000F6FF2" w:rsidP="000F6FF2">
      <w:pPr>
        <w:pStyle w:val="NoSpacing"/>
        <w:jc w:val="both"/>
        <w:rPr>
          <w:rFonts w:ascii="Times New Roman" w:hAnsi="Times New Roman" w:cs="Times New Roman"/>
          <w:b/>
          <w:bCs/>
        </w:rPr>
      </w:pPr>
      <w:r w:rsidRPr="001E5F46">
        <w:rPr>
          <w:rFonts w:ascii="Times New Roman" w:hAnsi="Times New Roman" w:cs="Times New Roman"/>
          <w:b/>
          <w:bCs/>
        </w:rPr>
        <w:t>COMMENT</w:t>
      </w:r>
    </w:p>
    <w:p w14:paraId="3288DB0F" w14:textId="77777777" w:rsidR="000F6FF2" w:rsidRPr="001E5F46" w:rsidRDefault="000F6FF2" w:rsidP="000F6FF2">
      <w:pPr>
        <w:pStyle w:val="NoSpacing"/>
        <w:jc w:val="both"/>
        <w:rPr>
          <w:rFonts w:ascii="Times New Roman" w:hAnsi="Times New Roman" w:cs="Times New Roman"/>
        </w:rPr>
      </w:pPr>
    </w:p>
    <w:p w14:paraId="474895EE" w14:textId="5F60FD49" w:rsidR="000F6FF2" w:rsidRPr="001E5F46" w:rsidRDefault="000F6FF2" w:rsidP="00B04299">
      <w:pPr>
        <w:pStyle w:val="NoSpacing"/>
        <w:ind w:firstLine="450"/>
        <w:jc w:val="both"/>
        <w:rPr>
          <w:rFonts w:ascii="Times New Roman" w:hAnsi="Times New Roman" w:cs="Times New Roman"/>
        </w:rPr>
      </w:pPr>
      <w:r w:rsidRPr="001E5F46">
        <w:rPr>
          <w:rFonts w:ascii="Times New Roman" w:hAnsi="Times New Roman" w:cs="Times New Roman"/>
        </w:rPr>
        <w:t>This instruction and comment were approved in 2004. The instruction was revised in 2013. An editorial revision was made to the instruction in 2009. The comment was updated in 2008, 2014, and 2015.</w:t>
      </w:r>
      <w:r w:rsidR="00B04299" w:rsidRPr="001E5F46">
        <w:rPr>
          <w:rFonts w:ascii="Times New Roman" w:hAnsi="Times New Roman" w:cs="Times New Roman"/>
        </w:rPr>
        <w:t xml:space="preserve"> This revision was approved by the Committee in</w:t>
      </w:r>
      <w:r w:rsidR="00B23899" w:rsidRPr="001E5F46">
        <w:rPr>
          <w:rFonts w:ascii="Times New Roman" w:hAnsi="Times New Roman" w:cs="Times New Roman"/>
        </w:rPr>
        <w:t xml:space="preserve"> May 2026</w:t>
      </w:r>
      <w:r w:rsidR="00B04299" w:rsidRPr="001E5F46">
        <w:rPr>
          <w:rFonts w:ascii="Times New Roman" w:hAnsi="Times New Roman" w:cs="Times New Roman"/>
        </w:rPr>
        <w:t xml:space="preserve">. It amended the comment to reflect the opinion in </w:t>
      </w:r>
      <w:r w:rsidR="00B04299" w:rsidRPr="001E5F46">
        <w:rPr>
          <w:rFonts w:ascii="Times New Roman" w:hAnsi="Times New Roman" w:cs="Times New Roman"/>
          <w:u w:val="single"/>
        </w:rPr>
        <w:t>State v. H.C.</w:t>
      </w:r>
      <w:r w:rsidR="00B04299" w:rsidRPr="001E5F46">
        <w:rPr>
          <w:rFonts w:ascii="Times New Roman" w:hAnsi="Times New Roman" w:cs="Times New Roman"/>
        </w:rPr>
        <w:t xml:space="preserve">, 2025 WI 20. </w:t>
      </w:r>
    </w:p>
    <w:p w14:paraId="46ACB03D" w14:textId="77777777" w:rsidR="000F6FF2" w:rsidRPr="001E5F46" w:rsidRDefault="000F6FF2" w:rsidP="000F6FF2">
      <w:pPr>
        <w:pStyle w:val="NoSpacing"/>
        <w:jc w:val="both"/>
        <w:rPr>
          <w:rFonts w:ascii="Times New Roman" w:hAnsi="Times New Roman" w:cs="Times New Roman"/>
        </w:rPr>
      </w:pPr>
    </w:p>
    <w:p w14:paraId="69F1F9C3" w14:textId="3F52C6EC" w:rsidR="000F6FF2" w:rsidRPr="001E5F46" w:rsidRDefault="000F6FF2" w:rsidP="000F6FF2">
      <w:pPr>
        <w:pStyle w:val="NoSpacing"/>
        <w:ind w:firstLine="450"/>
        <w:jc w:val="both"/>
        <w:rPr>
          <w:rFonts w:ascii="Times New Roman" w:hAnsi="Times New Roman" w:cs="Times New Roman"/>
        </w:rPr>
      </w:pPr>
      <w:r w:rsidRPr="001E5F46">
        <w:rPr>
          <w:rFonts w:ascii="Times New Roman" w:hAnsi="Times New Roman" w:cs="Times New Roman"/>
          <w:b/>
          <w:bCs/>
        </w:rPr>
        <w:t>Dual Purpose Evidence</w:t>
      </w:r>
      <w:r w:rsidRPr="001E5F46">
        <w:rPr>
          <w:rFonts w:ascii="Times New Roman" w:hAnsi="Times New Roman" w:cs="Times New Roman"/>
        </w:rPr>
        <w:t>. The committee recommends giving this instruction at the end of the grounds hearing in cases where there is “dual purpose” evidence that goes to both grounds and disposition. Examples of this dual purpose evidence include, among other things: details of “unsuccessful” parental visits, that is, a child’s negative reaction to the parent at the visit; foster parent testimony about the child’s special needs and details of the foster parents’ duties in meeting the child’s special needs; foster parent testimony about the failure of the parent to contact the child, provide support for, or give gifts to the child; and details regarding the physical and mental health of the biological parent.</w:t>
      </w:r>
    </w:p>
    <w:p w14:paraId="0307935F" w14:textId="77777777" w:rsidR="000F6FF2" w:rsidRPr="001E5F46" w:rsidRDefault="000F6FF2" w:rsidP="000F6FF2">
      <w:pPr>
        <w:pStyle w:val="NoSpacing"/>
        <w:jc w:val="both"/>
        <w:rPr>
          <w:rFonts w:ascii="Times New Roman" w:hAnsi="Times New Roman" w:cs="Times New Roman"/>
        </w:rPr>
      </w:pPr>
    </w:p>
    <w:p w14:paraId="54AD5BB5" w14:textId="6E54997E" w:rsidR="000F6FF2" w:rsidRPr="001E5F46" w:rsidRDefault="000F6FF2" w:rsidP="000F6FF2">
      <w:pPr>
        <w:pStyle w:val="NoSpacing"/>
        <w:ind w:firstLine="450"/>
        <w:jc w:val="both"/>
        <w:rPr>
          <w:rFonts w:ascii="Times New Roman" w:hAnsi="Times New Roman" w:cs="Times New Roman"/>
        </w:rPr>
      </w:pPr>
      <w:r w:rsidRPr="001E5F46">
        <w:rPr>
          <w:rFonts w:ascii="Times New Roman" w:hAnsi="Times New Roman" w:cs="Times New Roman"/>
        </w:rPr>
        <w:t>Since this type of evidence could shift the jury</w:t>
      </w:r>
      <w:r w:rsidR="00650F22" w:rsidRPr="001E5F46">
        <w:rPr>
          <w:rFonts w:ascii="Times New Roman" w:hAnsi="Times New Roman" w:cs="Times New Roman"/>
        </w:rPr>
        <w:t>’</w:t>
      </w:r>
      <w:r w:rsidRPr="001E5F46">
        <w:rPr>
          <w:rFonts w:ascii="Times New Roman" w:hAnsi="Times New Roman" w:cs="Times New Roman"/>
        </w:rPr>
        <w:t xml:space="preserve">s focus away from the </w:t>
      </w:r>
      <w:proofErr w:type="gramStart"/>
      <w:r w:rsidRPr="001E5F46">
        <w:rPr>
          <w:rFonts w:ascii="Times New Roman" w:hAnsi="Times New Roman" w:cs="Times New Roman"/>
        </w:rPr>
        <w:t>grounds</w:t>
      </w:r>
      <w:proofErr w:type="gramEnd"/>
      <w:r w:rsidRPr="001E5F46">
        <w:rPr>
          <w:rFonts w:ascii="Times New Roman" w:hAnsi="Times New Roman" w:cs="Times New Roman"/>
        </w:rPr>
        <w:t xml:space="preserve"> testimony, the above limiting instruction may be appropriate after the specific testimony and again during the closing instructions.</w:t>
      </w:r>
    </w:p>
    <w:p w14:paraId="19A41171" w14:textId="77777777" w:rsidR="000F6FF2" w:rsidRPr="001E5F46" w:rsidRDefault="000F6FF2" w:rsidP="000F6FF2">
      <w:pPr>
        <w:pStyle w:val="NoSpacing"/>
        <w:jc w:val="both"/>
        <w:rPr>
          <w:rFonts w:ascii="Times New Roman" w:hAnsi="Times New Roman" w:cs="Times New Roman"/>
        </w:rPr>
      </w:pPr>
    </w:p>
    <w:p w14:paraId="463DC8A2" w14:textId="763844B0" w:rsidR="000F6FF2" w:rsidRPr="001E5F46" w:rsidRDefault="000F6FF2" w:rsidP="006F70CA">
      <w:pPr>
        <w:pStyle w:val="NoSpacing"/>
        <w:ind w:firstLine="450"/>
        <w:jc w:val="both"/>
        <w:rPr>
          <w:rFonts w:ascii="Times New Roman" w:hAnsi="Times New Roman" w:cs="Times New Roman"/>
        </w:rPr>
      </w:pPr>
      <w:r w:rsidRPr="001E5F46">
        <w:rPr>
          <w:rFonts w:ascii="Times New Roman" w:hAnsi="Times New Roman" w:cs="Times New Roman"/>
        </w:rPr>
        <w:t xml:space="preserve">See </w:t>
      </w:r>
      <w:r w:rsidRPr="001E5F46">
        <w:rPr>
          <w:rFonts w:ascii="Times New Roman" w:hAnsi="Times New Roman" w:cs="Times New Roman"/>
          <w:u w:val="single"/>
        </w:rPr>
        <w:t xml:space="preserve">In re </w:t>
      </w:r>
      <w:proofErr w:type="spellStart"/>
      <w:r w:rsidRPr="001E5F46">
        <w:rPr>
          <w:rFonts w:ascii="Times New Roman" w:hAnsi="Times New Roman" w:cs="Times New Roman"/>
          <w:u w:val="single"/>
        </w:rPr>
        <w:t>Kristeena</w:t>
      </w:r>
      <w:proofErr w:type="spellEnd"/>
      <w:r w:rsidRPr="001E5F46">
        <w:rPr>
          <w:rFonts w:ascii="Times New Roman" w:hAnsi="Times New Roman" w:cs="Times New Roman"/>
          <w:u w:val="single"/>
        </w:rPr>
        <w:t xml:space="preserve"> A.M.S.</w:t>
      </w:r>
      <w:r w:rsidRPr="001E5F46">
        <w:rPr>
          <w:rFonts w:ascii="Times New Roman" w:hAnsi="Times New Roman" w:cs="Times New Roman"/>
        </w:rPr>
        <w:t>, 230 Wis.</w:t>
      </w:r>
      <w:r w:rsidR="006F70CA">
        <w:rPr>
          <w:rFonts w:ascii="Times New Roman" w:hAnsi="Times New Roman" w:cs="Times New Roman"/>
        </w:rPr>
        <w:t xml:space="preserve"> </w:t>
      </w:r>
      <w:r w:rsidRPr="001E5F46">
        <w:rPr>
          <w:rFonts w:ascii="Times New Roman" w:hAnsi="Times New Roman" w:cs="Times New Roman"/>
        </w:rPr>
        <w:t>2d 460</w:t>
      </w:r>
      <w:r w:rsidR="00C925E1">
        <w:rPr>
          <w:rFonts w:ascii="Times New Roman" w:hAnsi="Times New Roman" w:cs="Times New Roman"/>
        </w:rPr>
        <w:t xml:space="preserve">, </w:t>
      </w:r>
      <w:r w:rsidR="00C925E1" w:rsidRPr="00C925E1">
        <w:rPr>
          <w:rFonts w:ascii="Times New Roman" w:hAnsi="Times New Roman" w:cs="Times New Roman"/>
        </w:rPr>
        <w:t>602 N.W.2d 167</w:t>
      </w:r>
      <w:r w:rsidRPr="001E5F46">
        <w:rPr>
          <w:rFonts w:ascii="Times New Roman" w:hAnsi="Times New Roman" w:cs="Times New Roman"/>
        </w:rPr>
        <w:t xml:space="preserve"> (Ct. App. 1999) </w:t>
      </w:r>
      <w:r w:rsidR="006C1007">
        <w:rPr>
          <w:rFonts w:ascii="Times New Roman" w:hAnsi="Times New Roman" w:cs="Times New Roman"/>
        </w:rPr>
        <w:t>(</w:t>
      </w:r>
      <w:r w:rsidRPr="001E5F46">
        <w:rPr>
          <w:rFonts w:ascii="Times New Roman" w:hAnsi="Times New Roman" w:cs="Times New Roman"/>
        </w:rPr>
        <w:t xml:space="preserve">citing </w:t>
      </w:r>
      <w:proofErr w:type="gramStart"/>
      <w:r w:rsidRPr="001E5F46">
        <w:rPr>
          <w:rFonts w:ascii="Times New Roman" w:hAnsi="Times New Roman" w:cs="Times New Roman"/>
          <w:u w:val="single"/>
        </w:rPr>
        <w:t>In</w:t>
      </w:r>
      <w:proofErr w:type="gramEnd"/>
      <w:r w:rsidRPr="001E5F46">
        <w:rPr>
          <w:rFonts w:ascii="Times New Roman" w:hAnsi="Times New Roman" w:cs="Times New Roman"/>
          <w:u w:val="single"/>
        </w:rPr>
        <w:t xml:space="preserve"> re C.E.W.</w:t>
      </w:r>
      <w:r w:rsidRPr="001E5F46">
        <w:rPr>
          <w:rFonts w:ascii="Times New Roman" w:hAnsi="Times New Roman" w:cs="Times New Roman"/>
        </w:rPr>
        <w:t>, 124 Wis.</w:t>
      </w:r>
      <w:r w:rsidR="006F70CA">
        <w:rPr>
          <w:rFonts w:ascii="Times New Roman" w:hAnsi="Times New Roman" w:cs="Times New Roman"/>
        </w:rPr>
        <w:t xml:space="preserve"> </w:t>
      </w:r>
      <w:r w:rsidRPr="001E5F46">
        <w:rPr>
          <w:rFonts w:ascii="Times New Roman" w:hAnsi="Times New Roman" w:cs="Times New Roman"/>
        </w:rPr>
        <w:t>2d 47, 54</w:t>
      </w:r>
      <w:r w:rsidR="00C925E1">
        <w:rPr>
          <w:rFonts w:ascii="Times New Roman" w:hAnsi="Times New Roman" w:cs="Times New Roman"/>
        </w:rPr>
        <w:t xml:space="preserve">, </w:t>
      </w:r>
      <w:r w:rsidR="00C925E1" w:rsidRPr="00C925E1">
        <w:rPr>
          <w:rFonts w:ascii="Times New Roman" w:hAnsi="Times New Roman" w:cs="Times New Roman"/>
        </w:rPr>
        <w:t>368 N.W.2d 47</w:t>
      </w:r>
      <w:r w:rsidR="00C925E1" w:rsidRPr="00C925E1">
        <w:rPr>
          <w:rFonts w:ascii="Times New Roman" w:hAnsi="Times New Roman" w:cs="Times New Roman"/>
        </w:rPr>
        <w:t xml:space="preserve"> </w:t>
      </w:r>
      <w:r w:rsidRPr="001E5F46">
        <w:rPr>
          <w:rFonts w:ascii="Times New Roman" w:hAnsi="Times New Roman" w:cs="Times New Roman"/>
        </w:rPr>
        <w:t>(1985)</w:t>
      </w:r>
      <w:r w:rsidR="006C1007">
        <w:rPr>
          <w:rFonts w:ascii="Times New Roman" w:hAnsi="Times New Roman" w:cs="Times New Roman"/>
        </w:rPr>
        <w:t>)</w:t>
      </w:r>
      <w:r w:rsidRPr="001E5F46">
        <w:rPr>
          <w:rFonts w:ascii="Times New Roman" w:hAnsi="Times New Roman" w:cs="Times New Roman"/>
        </w:rPr>
        <w:t>.</w:t>
      </w:r>
    </w:p>
    <w:p w14:paraId="4B46CB9D" w14:textId="77777777" w:rsidR="000F6FF2" w:rsidRPr="001E5F46" w:rsidRDefault="000F6FF2" w:rsidP="000F6FF2">
      <w:pPr>
        <w:pStyle w:val="NoSpacing"/>
        <w:jc w:val="both"/>
        <w:rPr>
          <w:rFonts w:ascii="Times New Roman" w:hAnsi="Times New Roman" w:cs="Times New Roman"/>
        </w:rPr>
      </w:pPr>
    </w:p>
    <w:p w14:paraId="75FE1AED" w14:textId="31A5E4F7" w:rsidR="000F6FF2" w:rsidRPr="001E5F46" w:rsidRDefault="000F6FF2" w:rsidP="000F6FF2">
      <w:pPr>
        <w:pStyle w:val="NoSpacing"/>
        <w:ind w:firstLine="450"/>
        <w:jc w:val="both"/>
        <w:rPr>
          <w:rFonts w:ascii="Times New Roman" w:hAnsi="Times New Roman" w:cs="Times New Roman"/>
        </w:rPr>
      </w:pPr>
      <w:r w:rsidRPr="001E5F46">
        <w:rPr>
          <w:rFonts w:ascii="Times New Roman" w:hAnsi="Times New Roman" w:cs="Times New Roman"/>
        </w:rPr>
        <w:t xml:space="preserve">For an unpublished decision citing </w:t>
      </w:r>
      <w:proofErr w:type="gramStart"/>
      <w:r w:rsidRPr="001E5F46">
        <w:rPr>
          <w:rFonts w:ascii="Times New Roman" w:hAnsi="Times New Roman" w:cs="Times New Roman"/>
          <w:u w:val="single"/>
        </w:rPr>
        <w:t>In</w:t>
      </w:r>
      <w:proofErr w:type="gramEnd"/>
      <w:r w:rsidRPr="001E5F46">
        <w:rPr>
          <w:rFonts w:ascii="Times New Roman" w:hAnsi="Times New Roman" w:cs="Times New Roman"/>
          <w:u w:val="single"/>
        </w:rPr>
        <w:t xml:space="preserve"> re C.E.W.</w:t>
      </w:r>
      <w:r w:rsidRPr="001E5F46">
        <w:rPr>
          <w:rFonts w:ascii="Times New Roman" w:hAnsi="Times New Roman" w:cs="Times New Roman"/>
        </w:rPr>
        <w:t xml:space="preserve"> involving the giving of cautionary limiting instructions to the jury in the grounds-phase of TPR proceeding to not consider whether termination would be in the child</w:t>
      </w:r>
      <w:r w:rsidR="00650F22" w:rsidRPr="001E5F46">
        <w:rPr>
          <w:rFonts w:ascii="Times New Roman" w:hAnsi="Times New Roman" w:cs="Times New Roman"/>
        </w:rPr>
        <w:t>’</w:t>
      </w:r>
      <w:r w:rsidRPr="001E5F46">
        <w:rPr>
          <w:rFonts w:ascii="Times New Roman" w:hAnsi="Times New Roman" w:cs="Times New Roman"/>
        </w:rPr>
        <w:t xml:space="preserve">s best interest, see </w:t>
      </w:r>
      <w:r w:rsidRPr="001E5F46">
        <w:rPr>
          <w:rFonts w:ascii="Times New Roman" w:hAnsi="Times New Roman" w:cs="Times New Roman"/>
          <w:u w:val="single"/>
        </w:rPr>
        <w:t>State v. Samantha S.</w:t>
      </w:r>
      <w:r w:rsidRPr="001E5F46">
        <w:rPr>
          <w:rFonts w:ascii="Times New Roman" w:hAnsi="Times New Roman" w:cs="Times New Roman"/>
        </w:rPr>
        <w:t xml:space="preserve">, </w:t>
      </w:r>
      <w:r w:rsidR="00600AB9">
        <w:rPr>
          <w:rFonts w:ascii="Times New Roman" w:hAnsi="Times New Roman" w:cs="Times New Roman"/>
        </w:rPr>
        <w:t xml:space="preserve">No. </w:t>
      </w:r>
      <w:r w:rsidRPr="001E5F46">
        <w:rPr>
          <w:rFonts w:ascii="Times New Roman" w:hAnsi="Times New Roman" w:cs="Times New Roman"/>
        </w:rPr>
        <w:t>2013AP1503 (not published; one-judge decision).</w:t>
      </w:r>
    </w:p>
    <w:p w14:paraId="305BEE95" w14:textId="77777777" w:rsidR="000F6FF2" w:rsidRPr="001E5F46" w:rsidRDefault="000F6FF2" w:rsidP="000F6FF2">
      <w:pPr>
        <w:pStyle w:val="NoSpacing"/>
        <w:jc w:val="both"/>
        <w:rPr>
          <w:rFonts w:ascii="Times New Roman" w:hAnsi="Times New Roman" w:cs="Times New Roman"/>
        </w:rPr>
      </w:pPr>
    </w:p>
    <w:p w14:paraId="1CFEBE40" w14:textId="42B64EB1" w:rsidR="003868DD" w:rsidRPr="001E5F46" w:rsidRDefault="000F6FF2" w:rsidP="000F6FF2">
      <w:pPr>
        <w:pStyle w:val="NoSpacing"/>
        <w:ind w:firstLine="450"/>
        <w:jc w:val="both"/>
        <w:rPr>
          <w:rFonts w:ascii="Times New Roman" w:hAnsi="Times New Roman" w:cs="Times New Roman"/>
        </w:rPr>
      </w:pPr>
      <w:r w:rsidRPr="001E5F46">
        <w:rPr>
          <w:rFonts w:ascii="Times New Roman" w:hAnsi="Times New Roman" w:cs="Times New Roman"/>
        </w:rPr>
        <w:t xml:space="preserve">For an unpublished decision discussing the ineffectiveness of counsel for failing to ask that the jury be instructed on Wis JI-Children 301, see </w:t>
      </w:r>
      <w:r w:rsidRPr="001E5F46">
        <w:rPr>
          <w:rFonts w:ascii="Times New Roman" w:hAnsi="Times New Roman" w:cs="Times New Roman"/>
          <w:u w:val="single"/>
        </w:rPr>
        <w:t xml:space="preserve">Manitowoc County Human Services </w:t>
      </w:r>
      <w:proofErr w:type="spellStart"/>
      <w:r w:rsidRPr="001E5F46">
        <w:rPr>
          <w:rFonts w:ascii="Times New Roman" w:hAnsi="Times New Roman" w:cs="Times New Roman"/>
          <w:u w:val="single"/>
        </w:rPr>
        <w:t>Dep’t</w:t>
      </w:r>
      <w:proofErr w:type="spellEnd"/>
      <w:r w:rsidRPr="001E5F46">
        <w:rPr>
          <w:rFonts w:ascii="Times New Roman" w:hAnsi="Times New Roman" w:cs="Times New Roman"/>
          <w:u w:val="single"/>
        </w:rPr>
        <w:t xml:space="preserve"> v. Ralph B.</w:t>
      </w:r>
      <w:r w:rsidRPr="001E5F46">
        <w:rPr>
          <w:rFonts w:ascii="Times New Roman" w:hAnsi="Times New Roman" w:cs="Times New Roman"/>
        </w:rPr>
        <w:t>, Appeal No. 2014AP140 (one-judge decision, July 30, 2014).</w:t>
      </w:r>
    </w:p>
    <w:p w14:paraId="66F5A162" w14:textId="3D571EA9" w:rsidR="00B04299" w:rsidRPr="001E5F46" w:rsidRDefault="00B04299" w:rsidP="000F6FF2">
      <w:pPr>
        <w:pStyle w:val="NoSpacing"/>
        <w:ind w:firstLine="450"/>
        <w:jc w:val="both"/>
        <w:rPr>
          <w:rFonts w:ascii="Times New Roman" w:hAnsi="Times New Roman" w:cs="Times New Roman"/>
        </w:rPr>
      </w:pPr>
    </w:p>
    <w:p w14:paraId="21FB1408" w14:textId="77777777" w:rsidR="00B04299" w:rsidRPr="001E5F46" w:rsidRDefault="00B04299" w:rsidP="00B04299">
      <w:pPr>
        <w:pStyle w:val="NoSpacing"/>
        <w:ind w:firstLine="450"/>
        <w:jc w:val="both"/>
        <w:rPr>
          <w:rFonts w:ascii="Times New Roman" w:hAnsi="Times New Roman" w:cs="Times New Roman"/>
        </w:rPr>
      </w:pPr>
      <w:r w:rsidRPr="001E5F46">
        <w:rPr>
          <w:rFonts w:ascii="Times New Roman" w:hAnsi="Times New Roman" w:cs="Times New Roman"/>
          <w:b/>
          <w:bCs/>
        </w:rPr>
        <w:t>Dispositional Phase—No Burden of Proof</w:t>
      </w:r>
      <w:r w:rsidRPr="001E5F46">
        <w:rPr>
          <w:rFonts w:ascii="Times New Roman" w:hAnsi="Times New Roman" w:cs="Times New Roman"/>
        </w:rPr>
        <w:t xml:space="preserve">. In </w:t>
      </w:r>
      <w:r w:rsidRPr="001E5F46">
        <w:rPr>
          <w:rFonts w:ascii="Times New Roman" w:hAnsi="Times New Roman" w:cs="Times New Roman"/>
          <w:u w:val="single"/>
        </w:rPr>
        <w:t>State v. H.C.</w:t>
      </w:r>
      <w:r w:rsidRPr="001E5F46">
        <w:rPr>
          <w:rFonts w:ascii="Times New Roman" w:hAnsi="Times New Roman" w:cs="Times New Roman"/>
        </w:rPr>
        <w:t xml:space="preserve">, 2025 WI 20, 416 Wis. 2d 233, 21 N.W.3d 330, the Wisconsin Supreme Court held that neither the Due Process Clause nor Wis. Stat. § 48.426 imposes a burden of proof on any party at the dispositional phase of a TPR proceeding. </w:t>
      </w:r>
    </w:p>
    <w:p w14:paraId="52400B11" w14:textId="77777777" w:rsidR="00B04299" w:rsidRPr="000F6FF2" w:rsidRDefault="00B04299" w:rsidP="00B04299">
      <w:pPr>
        <w:pStyle w:val="NoSpacing"/>
        <w:jc w:val="both"/>
        <w:rPr>
          <w:rFonts w:ascii="Times New Roman" w:hAnsi="Times New Roman" w:cs="Times New Roman"/>
        </w:rPr>
      </w:pPr>
    </w:p>
    <w:sectPr w:rsidR="00B04299" w:rsidRPr="000F6FF2" w:rsidSect="001E5F46">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B56B3" w14:textId="77777777" w:rsidR="000F6FF2" w:rsidRDefault="000F6FF2" w:rsidP="000F6FF2">
      <w:pPr>
        <w:spacing w:after="0" w:line="240" w:lineRule="auto"/>
      </w:pPr>
      <w:r>
        <w:separator/>
      </w:r>
    </w:p>
  </w:endnote>
  <w:endnote w:type="continuationSeparator" w:id="0">
    <w:p w14:paraId="7788E0D4" w14:textId="77777777" w:rsidR="000F6FF2" w:rsidRDefault="000F6FF2" w:rsidP="000F6FF2">
      <w:pPr>
        <w:spacing w:after="0" w:line="240" w:lineRule="auto"/>
      </w:pPr>
      <w:r>
        <w:continuationSeparator/>
      </w:r>
    </w:p>
  </w:endnote>
  <w:endnote w:id="1">
    <w:p w14:paraId="272FD104" w14:textId="77777777" w:rsidR="00650F22" w:rsidRDefault="00650F22" w:rsidP="00650F22">
      <w:pPr>
        <w:pStyle w:val="EndnoteText"/>
        <w:jc w:val="both"/>
        <w:rPr>
          <w:rFonts w:ascii="Times New Roman" w:hAnsi="Times New Roman" w:cs="Times New Roman"/>
          <w:sz w:val="22"/>
          <w:szCs w:val="22"/>
        </w:rPr>
      </w:pPr>
    </w:p>
    <w:p w14:paraId="3DCCE28A" w14:textId="4701B2A9" w:rsidR="00650F22" w:rsidRPr="001E5F46" w:rsidRDefault="00650F22" w:rsidP="00650F22">
      <w:pPr>
        <w:pStyle w:val="EndnoteText"/>
        <w:jc w:val="both"/>
        <w:rPr>
          <w:rFonts w:ascii="Times New Roman" w:hAnsi="Times New Roman" w:cs="Times New Roman"/>
          <w:b/>
          <w:bCs/>
          <w:sz w:val="22"/>
          <w:szCs w:val="22"/>
        </w:rPr>
      </w:pPr>
      <w:r w:rsidRPr="001E5F46">
        <w:rPr>
          <w:rFonts w:ascii="Times New Roman" w:hAnsi="Times New Roman" w:cs="Times New Roman"/>
          <w:b/>
          <w:bCs/>
          <w:sz w:val="22"/>
          <w:szCs w:val="22"/>
        </w:rPr>
        <w:t>NOTES</w:t>
      </w:r>
    </w:p>
    <w:p w14:paraId="574CBD30" w14:textId="77777777" w:rsidR="00650F22" w:rsidRPr="001E5F46" w:rsidRDefault="00650F22" w:rsidP="00650F22">
      <w:pPr>
        <w:pStyle w:val="EndnoteText"/>
        <w:jc w:val="both"/>
        <w:rPr>
          <w:rFonts w:ascii="Times New Roman" w:hAnsi="Times New Roman" w:cs="Times New Roman"/>
          <w:sz w:val="22"/>
          <w:szCs w:val="22"/>
        </w:rPr>
      </w:pPr>
    </w:p>
    <w:p w14:paraId="08EB92DA" w14:textId="47CBA7DD" w:rsidR="000F6FF2" w:rsidRPr="00650F22" w:rsidRDefault="000F6FF2" w:rsidP="00650F22">
      <w:pPr>
        <w:pStyle w:val="EndnoteText"/>
        <w:tabs>
          <w:tab w:val="left" w:pos="900"/>
        </w:tabs>
        <w:ind w:firstLine="450"/>
        <w:jc w:val="both"/>
        <w:rPr>
          <w:rFonts w:ascii="Times New Roman" w:hAnsi="Times New Roman" w:cs="Times New Roman"/>
          <w:sz w:val="22"/>
          <w:szCs w:val="22"/>
        </w:rPr>
      </w:pPr>
      <w:r w:rsidRPr="001E5F46">
        <w:rPr>
          <w:rFonts w:ascii="Times New Roman" w:hAnsi="Times New Roman" w:cs="Times New Roman"/>
          <w:sz w:val="22"/>
          <w:szCs w:val="22"/>
        </w:rPr>
        <w:endnoteRef/>
      </w:r>
      <w:r w:rsidR="00650F22" w:rsidRPr="001E5F46">
        <w:rPr>
          <w:rFonts w:ascii="Times New Roman" w:hAnsi="Times New Roman" w:cs="Times New Roman"/>
          <w:sz w:val="22"/>
          <w:szCs w:val="22"/>
        </w:rPr>
        <w:t>.</w:t>
      </w:r>
      <w:r w:rsidR="00650F22" w:rsidRPr="001E5F46">
        <w:rPr>
          <w:rFonts w:ascii="Times New Roman" w:hAnsi="Times New Roman" w:cs="Times New Roman"/>
          <w:sz w:val="22"/>
          <w:szCs w:val="22"/>
        </w:rPr>
        <w:tab/>
        <w:t xml:space="preserve">Once the jury finds that grounds for termination have been established, the court proceeds to a separate dispositional hearing. Under Wis. Stat. § 48.426(2), and as clarified in </w:t>
      </w:r>
      <w:r w:rsidR="00650F22" w:rsidRPr="001E5F46">
        <w:rPr>
          <w:rFonts w:ascii="Times New Roman" w:hAnsi="Times New Roman" w:cs="Times New Roman"/>
          <w:sz w:val="22"/>
          <w:szCs w:val="22"/>
          <w:u w:val="single"/>
        </w:rPr>
        <w:t>State v. H.C.</w:t>
      </w:r>
      <w:r w:rsidR="00650F22" w:rsidRPr="001E5F46">
        <w:rPr>
          <w:rFonts w:ascii="Times New Roman" w:hAnsi="Times New Roman" w:cs="Times New Roman"/>
          <w:sz w:val="22"/>
          <w:szCs w:val="22"/>
        </w:rPr>
        <w:t>, 2025 WI 20, ¶¶</w:t>
      </w:r>
      <w:r w:rsidR="004117DE">
        <w:rPr>
          <w:rFonts w:ascii="Times New Roman" w:hAnsi="Times New Roman" w:cs="Times New Roman"/>
          <w:sz w:val="22"/>
          <w:szCs w:val="22"/>
        </w:rPr>
        <w:t xml:space="preserve"> </w:t>
      </w:r>
      <w:r w:rsidR="00650F22" w:rsidRPr="001E5F46">
        <w:rPr>
          <w:rFonts w:ascii="Times New Roman" w:hAnsi="Times New Roman" w:cs="Times New Roman"/>
          <w:sz w:val="22"/>
          <w:szCs w:val="22"/>
        </w:rPr>
        <w:t xml:space="preserve">20, </w:t>
      </w:r>
      <w:r w:rsidR="00150F08" w:rsidRPr="001E5F46">
        <w:rPr>
          <w:rFonts w:ascii="Times New Roman" w:hAnsi="Times New Roman" w:cs="Times New Roman"/>
          <w:sz w:val="22"/>
          <w:szCs w:val="22"/>
        </w:rPr>
        <w:t>26</w:t>
      </w:r>
      <w:r w:rsidR="00650F22" w:rsidRPr="001E5F46">
        <w:rPr>
          <w:rFonts w:ascii="Times New Roman" w:hAnsi="Times New Roman" w:cs="Times New Roman"/>
          <w:sz w:val="22"/>
          <w:szCs w:val="22"/>
        </w:rPr>
        <w:t>,</w:t>
      </w:r>
      <w:r w:rsidR="00B04299" w:rsidRPr="001E5F46">
        <w:rPr>
          <w:rFonts w:ascii="Times New Roman" w:hAnsi="Times New Roman" w:cs="Times New Roman"/>
          <w:sz w:val="22"/>
          <w:szCs w:val="22"/>
        </w:rPr>
        <w:t xml:space="preserve"> 32,</w:t>
      </w:r>
      <w:r w:rsidR="00650F22" w:rsidRPr="001E5F46">
        <w:rPr>
          <w:rFonts w:ascii="Times New Roman" w:hAnsi="Times New Roman" w:cs="Times New Roman"/>
          <w:sz w:val="22"/>
          <w:szCs w:val="22"/>
        </w:rPr>
        <w:t xml:space="preserve"> the court exercises its discretion to determine whether termination of parental rights is in the child’s best interests. No party bears a burden of proof at this stage. The burdens set forth in this instruction apply solely to the fact-finding (grounds) phase.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42BA5" w14:textId="77777777" w:rsidR="001E5F46" w:rsidRDefault="001E5F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5FD83" w14:textId="77777777" w:rsidR="000F6FF2" w:rsidRDefault="000F6FF2" w:rsidP="000F6FF2">
    <w:pPr>
      <w:pStyle w:val="Footer"/>
      <w:jc w:val="both"/>
      <w:rPr>
        <w:rFonts w:ascii="Arial" w:hAnsi="Arial" w:cs="Arial"/>
        <w:sz w:val="20"/>
        <w:szCs w:val="20"/>
      </w:rPr>
    </w:pPr>
  </w:p>
  <w:p w14:paraId="5F3B1647" w14:textId="4CE298DB" w:rsidR="000F6FF2" w:rsidRPr="000F6FF2" w:rsidRDefault="000F6FF2" w:rsidP="000F6FF2">
    <w:pPr>
      <w:pStyle w:val="Footer"/>
      <w:jc w:val="both"/>
      <w:rPr>
        <w:rFonts w:ascii="Arial" w:hAnsi="Arial" w:cs="Arial"/>
        <w:sz w:val="20"/>
        <w:szCs w:val="20"/>
      </w:rPr>
    </w:pPr>
    <w:r w:rsidRPr="000F6FF2">
      <w:rPr>
        <w:rFonts w:ascii="Arial" w:hAnsi="Arial" w:cs="Arial"/>
        <w:sz w:val="20"/>
        <w:szCs w:val="20"/>
      </w:rPr>
      <w:t xml:space="preserve">Wisconsin Court System, </w:t>
    </w:r>
    <w:r w:rsidR="00B23899">
      <w:rPr>
        <w:rFonts w:ascii="Arial" w:hAnsi="Arial" w:cs="Arial"/>
        <w:sz w:val="20"/>
        <w:szCs w:val="20"/>
      </w:rPr>
      <w:t>7</w:t>
    </w:r>
    <w:r w:rsidRPr="000F6FF2">
      <w:rPr>
        <w:rFonts w:ascii="Arial" w:hAnsi="Arial" w:cs="Arial"/>
        <w:sz w:val="20"/>
        <w:szCs w:val="20"/>
      </w:rPr>
      <w:t>/2026</w:t>
    </w:r>
    <w:r w:rsidRPr="000F6FF2">
      <w:rPr>
        <w:rFonts w:ascii="Arial" w:hAnsi="Arial" w:cs="Arial"/>
        <w:sz w:val="20"/>
        <w:szCs w:val="20"/>
      </w:rPr>
      <w:tab/>
    </w:r>
    <w:r w:rsidRPr="000F6FF2">
      <w:rPr>
        <w:rFonts w:ascii="Arial" w:hAnsi="Arial" w:cs="Arial"/>
        <w:sz w:val="20"/>
        <w:szCs w:val="20"/>
      </w:rPr>
      <w:tab/>
      <w:t>(</w:t>
    </w:r>
    <w:r w:rsidR="001E5F46">
      <w:rPr>
        <w:rFonts w:ascii="Arial" w:hAnsi="Arial" w:cs="Arial"/>
        <w:sz w:val="20"/>
        <w:szCs w:val="20"/>
      </w:rPr>
      <w:t xml:space="preserve">Release No. </w:t>
    </w:r>
    <w:r w:rsidRPr="000F6FF2">
      <w:rPr>
        <w:rFonts w:ascii="Arial" w:hAnsi="Arial" w:cs="Arial"/>
        <w:sz w:val="20"/>
        <w:szCs w:val="20"/>
      </w:rPr>
      <w:t>6)</w:t>
    </w:r>
  </w:p>
  <w:sdt>
    <w:sdtPr>
      <w:rPr>
        <w:rFonts w:ascii="Arial" w:hAnsi="Arial" w:cs="Arial"/>
        <w:sz w:val="20"/>
        <w:szCs w:val="20"/>
      </w:rPr>
      <w:id w:val="-1263445905"/>
      <w:docPartObj>
        <w:docPartGallery w:val="Page Numbers (Bottom of Page)"/>
        <w:docPartUnique/>
      </w:docPartObj>
    </w:sdtPr>
    <w:sdtEndPr>
      <w:rPr>
        <w:noProof/>
      </w:rPr>
    </w:sdtEndPr>
    <w:sdtContent>
      <w:p w14:paraId="01572BF3" w14:textId="0909FCFC" w:rsidR="000F6FF2" w:rsidRPr="000F6FF2" w:rsidRDefault="000F6FF2">
        <w:pPr>
          <w:pStyle w:val="Footer"/>
          <w:jc w:val="center"/>
          <w:rPr>
            <w:rFonts w:ascii="Arial" w:hAnsi="Arial" w:cs="Arial"/>
            <w:sz w:val="20"/>
            <w:szCs w:val="20"/>
          </w:rPr>
        </w:pPr>
        <w:r w:rsidRPr="000F6FF2">
          <w:rPr>
            <w:rFonts w:ascii="Arial" w:hAnsi="Arial" w:cs="Arial"/>
            <w:sz w:val="20"/>
            <w:szCs w:val="20"/>
          </w:rPr>
          <w:fldChar w:fldCharType="begin"/>
        </w:r>
        <w:r w:rsidRPr="000F6FF2">
          <w:rPr>
            <w:rFonts w:ascii="Arial" w:hAnsi="Arial" w:cs="Arial"/>
            <w:sz w:val="20"/>
            <w:szCs w:val="20"/>
          </w:rPr>
          <w:instrText xml:space="preserve"> PAGE   \* MERGEFORMAT </w:instrText>
        </w:r>
        <w:r w:rsidRPr="000F6FF2">
          <w:rPr>
            <w:rFonts w:ascii="Arial" w:hAnsi="Arial" w:cs="Arial"/>
            <w:sz w:val="20"/>
            <w:szCs w:val="20"/>
          </w:rPr>
          <w:fldChar w:fldCharType="separate"/>
        </w:r>
        <w:r w:rsidRPr="000F6FF2">
          <w:rPr>
            <w:rFonts w:ascii="Arial" w:hAnsi="Arial" w:cs="Arial"/>
            <w:noProof/>
            <w:sz w:val="20"/>
            <w:szCs w:val="20"/>
          </w:rPr>
          <w:t>2</w:t>
        </w:r>
        <w:r w:rsidRPr="000F6FF2">
          <w:rPr>
            <w:rFonts w:ascii="Arial" w:hAnsi="Arial" w:cs="Arial"/>
            <w:noProof/>
            <w:sz w:val="20"/>
            <w:szCs w:val="20"/>
          </w:rPr>
          <w:fldChar w:fldCharType="end"/>
        </w:r>
      </w:p>
    </w:sdtContent>
  </w:sdt>
  <w:p w14:paraId="6D5A4441" w14:textId="77777777" w:rsidR="000F6FF2" w:rsidRDefault="000F6F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68C12" w14:textId="77777777" w:rsidR="001E5F46" w:rsidRDefault="001E5F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8734FC" w14:textId="77777777" w:rsidR="000F6FF2" w:rsidRDefault="000F6FF2" w:rsidP="000F6FF2">
      <w:pPr>
        <w:spacing w:after="0" w:line="240" w:lineRule="auto"/>
      </w:pPr>
      <w:r>
        <w:separator/>
      </w:r>
    </w:p>
  </w:footnote>
  <w:footnote w:type="continuationSeparator" w:id="0">
    <w:p w14:paraId="308B430D" w14:textId="77777777" w:rsidR="000F6FF2" w:rsidRDefault="000F6FF2" w:rsidP="000F6F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3DEC1" w14:textId="77777777" w:rsidR="001E5F46" w:rsidRDefault="001E5F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7096F" w14:textId="77777777" w:rsidR="000F6FF2" w:rsidRDefault="000F6FF2" w:rsidP="000F6FF2">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p>
  <w:p w14:paraId="72597D84" w14:textId="1F305E86" w:rsidR="000F6FF2" w:rsidRDefault="000F6FF2" w:rsidP="000F6FF2">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r w:rsidRPr="000F6FF2">
      <w:rPr>
        <w:rFonts w:ascii="Helvetica" w:eastAsia="Times New Roman" w:hAnsi="Helvetica" w:cs="Helvetica"/>
        <w:b/>
        <w:bCs/>
        <w:sz w:val="28"/>
        <w:szCs w:val="28"/>
      </w:rPr>
      <w:t>301</w:t>
    </w:r>
    <w:r w:rsidRPr="000F6FF2">
      <w:rPr>
        <w:rFonts w:ascii="Helvetica" w:eastAsia="Times New Roman" w:hAnsi="Helvetica" w:cs="Helvetica"/>
        <w:b/>
        <w:bCs/>
        <w:sz w:val="28"/>
        <w:szCs w:val="28"/>
      </w:rPr>
      <w:tab/>
      <w:t>WIS JI</w:t>
    </w:r>
    <w:r w:rsidRPr="000F6FF2">
      <w:rPr>
        <w:rFonts w:ascii="Helvetica" w:eastAsia="Times New Roman" w:hAnsi="Helvetica" w:cs="Helvetica"/>
        <w:b/>
        <w:bCs/>
        <w:sz w:val="28"/>
        <w:szCs w:val="28"/>
      </w:rPr>
      <w:noBreakHyphen/>
      <w:t>CHILDREN</w:t>
    </w:r>
    <w:r w:rsidRPr="000F6FF2">
      <w:rPr>
        <w:rFonts w:ascii="Helvetica" w:eastAsia="Times New Roman" w:hAnsi="Helvetica" w:cs="Helvetica"/>
        <w:b/>
        <w:bCs/>
        <w:sz w:val="28"/>
        <w:szCs w:val="28"/>
      </w:rPr>
      <w:tab/>
      <w:t>301</w:t>
    </w:r>
  </w:p>
  <w:p w14:paraId="3B72A97A" w14:textId="38DC703B" w:rsidR="000F6FF2" w:rsidRDefault="000F6FF2" w:rsidP="000F6FF2">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p>
  <w:p w14:paraId="7BCA6923" w14:textId="77777777" w:rsidR="000F6FF2" w:rsidRPr="000F6FF2" w:rsidRDefault="000F6FF2" w:rsidP="000F6FF2">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0FB83" w14:textId="77777777" w:rsidR="001E5F46" w:rsidRDefault="001E5F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FF2"/>
    <w:rsid w:val="000F6FF2"/>
    <w:rsid w:val="00150F08"/>
    <w:rsid w:val="001E5F46"/>
    <w:rsid w:val="002B2EF7"/>
    <w:rsid w:val="003829A5"/>
    <w:rsid w:val="003868DD"/>
    <w:rsid w:val="003B5D35"/>
    <w:rsid w:val="004117DE"/>
    <w:rsid w:val="00600AB9"/>
    <w:rsid w:val="00610D46"/>
    <w:rsid w:val="00650F22"/>
    <w:rsid w:val="006C1007"/>
    <w:rsid w:val="006F70CA"/>
    <w:rsid w:val="00A44F9E"/>
    <w:rsid w:val="00B04299"/>
    <w:rsid w:val="00B23899"/>
    <w:rsid w:val="00C052B1"/>
    <w:rsid w:val="00C925E1"/>
    <w:rsid w:val="00E90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00CFE"/>
  <w15:chartTrackingRefBased/>
  <w15:docId w15:val="{0939BED2-BC8D-48D3-8A49-16C0D6C34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6F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FF2"/>
  </w:style>
  <w:style w:type="paragraph" w:styleId="Footer">
    <w:name w:val="footer"/>
    <w:basedOn w:val="Normal"/>
    <w:link w:val="FooterChar"/>
    <w:uiPriority w:val="99"/>
    <w:unhideWhenUsed/>
    <w:rsid w:val="000F6F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6FF2"/>
  </w:style>
  <w:style w:type="paragraph" w:styleId="NoSpacing">
    <w:name w:val="No Spacing"/>
    <w:uiPriority w:val="1"/>
    <w:qFormat/>
    <w:rsid w:val="000F6FF2"/>
    <w:pPr>
      <w:spacing w:after="0" w:line="240" w:lineRule="auto"/>
    </w:pPr>
  </w:style>
  <w:style w:type="character" w:styleId="LineNumber">
    <w:name w:val="line number"/>
    <w:basedOn w:val="DefaultParagraphFont"/>
    <w:uiPriority w:val="99"/>
    <w:semiHidden/>
    <w:unhideWhenUsed/>
    <w:rsid w:val="000F6FF2"/>
  </w:style>
  <w:style w:type="paragraph" w:styleId="EndnoteText">
    <w:name w:val="endnote text"/>
    <w:basedOn w:val="Normal"/>
    <w:link w:val="EndnoteTextChar"/>
    <w:uiPriority w:val="99"/>
    <w:semiHidden/>
    <w:unhideWhenUsed/>
    <w:rsid w:val="000F6FF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F6FF2"/>
    <w:rPr>
      <w:sz w:val="20"/>
      <w:szCs w:val="20"/>
    </w:rPr>
  </w:style>
  <w:style w:type="character" w:styleId="EndnoteReference">
    <w:name w:val="endnote reference"/>
    <w:basedOn w:val="DefaultParagraphFont"/>
    <w:uiPriority w:val="99"/>
    <w:semiHidden/>
    <w:unhideWhenUsed/>
    <w:rsid w:val="000F6FF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BD121-910E-4E61-BA2F-FB583DA91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535</Words>
  <Characters>3051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10</cp:revision>
  <dcterms:created xsi:type="dcterms:W3CDTF">2026-07-23T17:27:00Z</dcterms:created>
  <dcterms:modified xsi:type="dcterms:W3CDTF">2026-07-23T17:54:00Z</dcterms:modified>
</cp:coreProperties>
</file>