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C9D5" w14:textId="77777777" w:rsidR="00740E71" w:rsidRPr="00740E71" w:rsidRDefault="00740E71" w:rsidP="00740E71">
      <w:pPr>
        <w:pStyle w:val="NoSpacing"/>
        <w:tabs>
          <w:tab w:val="left" w:pos="900"/>
        </w:tabs>
        <w:ind w:left="900" w:hanging="900"/>
        <w:jc w:val="both"/>
        <w:rPr>
          <w:rFonts w:ascii="Times New Roman" w:hAnsi="Times New Roman" w:cs="Times New Roman"/>
          <w:b/>
          <w:bCs/>
          <w:sz w:val="26"/>
          <w:szCs w:val="26"/>
        </w:rPr>
      </w:pPr>
      <w:r w:rsidRPr="00740E71">
        <w:rPr>
          <w:rFonts w:ascii="Times New Roman" w:hAnsi="Times New Roman" w:cs="Times New Roman"/>
          <w:b/>
          <w:bCs/>
          <w:sz w:val="26"/>
          <w:szCs w:val="26"/>
        </w:rPr>
        <w:t>303</w:t>
      </w:r>
      <w:r w:rsidRPr="00740E71">
        <w:rPr>
          <w:rFonts w:ascii="Times New Roman" w:hAnsi="Times New Roman" w:cs="Times New Roman"/>
          <w:b/>
          <w:bCs/>
          <w:sz w:val="26"/>
          <w:szCs w:val="26"/>
        </w:rPr>
        <w:tab/>
        <w:t>INVOLUNTARY TERMINATION OF PARENTAL RIGHTS: RELINQUISHMENT [WIS. STAT. § 48.415(1m)]</w:t>
      </w:r>
    </w:p>
    <w:p w14:paraId="1064D576" w14:textId="77777777" w:rsidR="00740E71" w:rsidRPr="00740E71" w:rsidRDefault="00740E71" w:rsidP="00740E71">
      <w:pPr>
        <w:pStyle w:val="NoSpacing"/>
        <w:jc w:val="both"/>
        <w:rPr>
          <w:rFonts w:ascii="Times New Roman" w:hAnsi="Times New Roman" w:cs="Times New Roman"/>
          <w:sz w:val="26"/>
          <w:szCs w:val="26"/>
        </w:rPr>
      </w:pPr>
    </w:p>
    <w:p w14:paraId="65C15E8A" w14:textId="78A65567" w:rsidR="00B66AFC" w:rsidRPr="00B66AFC" w:rsidRDefault="00B66AFC" w:rsidP="00740E71">
      <w:pPr>
        <w:pStyle w:val="NoSpacing"/>
        <w:jc w:val="both"/>
        <w:rPr>
          <w:rFonts w:ascii="Times New Roman" w:hAnsi="Times New Roman"/>
          <w:sz w:val="26"/>
          <w:szCs w:val="26"/>
        </w:rPr>
      </w:pPr>
      <w:r w:rsidRPr="00105833">
        <w:rPr>
          <w:rFonts w:ascii="Times New Roman" w:hAnsi="Times New Roman"/>
          <w:sz w:val="26"/>
          <w:szCs w:val="26"/>
        </w:rPr>
        <w:tab/>
      </w:r>
    </w:p>
    <w:p w14:paraId="3E268724" w14:textId="77777777" w:rsidR="00B66AFC" w:rsidRPr="00740E71" w:rsidRDefault="00B66AFC" w:rsidP="00740E71">
      <w:pPr>
        <w:pStyle w:val="NoSpacing"/>
        <w:jc w:val="both"/>
        <w:rPr>
          <w:rFonts w:ascii="Times New Roman" w:hAnsi="Times New Roman" w:cs="Times New Roman"/>
          <w:sz w:val="26"/>
          <w:szCs w:val="26"/>
        </w:rPr>
      </w:pPr>
    </w:p>
    <w:p w14:paraId="334F9650" w14:textId="70D323CB" w:rsidR="00740E71" w:rsidRPr="00740E71" w:rsidRDefault="00740E71" w:rsidP="00740E71">
      <w:pPr>
        <w:pStyle w:val="NoSpacing"/>
        <w:jc w:val="center"/>
        <w:rPr>
          <w:rFonts w:ascii="Times New Roman" w:hAnsi="Times New Roman" w:cs="Times New Roman"/>
          <w:b/>
          <w:bCs/>
          <w:sz w:val="26"/>
          <w:szCs w:val="26"/>
        </w:rPr>
      </w:pPr>
      <w:r w:rsidRPr="00740E71">
        <w:rPr>
          <w:rFonts w:ascii="Times New Roman" w:hAnsi="Times New Roman" w:cs="Times New Roman"/>
          <w:b/>
          <w:bCs/>
          <w:sz w:val="26"/>
          <w:szCs w:val="26"/>
        </w:rPr>
        <w:t>NO INSTRUCTION IS RECOMMENDED.</w:t>
      </w:r>
    </w:p>
    <w:p w14:paraId="0F465701" w14:textId="6F11110A" w:rsidR="00740E71" w:rsidRDefault="00740E71" w:rsidP="00740E71">
      <w:pPr>
        <w:pStyle w:val="NoSpacing"/>
        <w:jc w:val="both"/>
        <w:rPr>
          <w:rFonts w:ascii="Times New Roman" w:hAnsi="Times New Roman" w:cs="Times New Roman"/>
          <w:sz w:val="26"/>
          <w:szCs w:val="26"/>
        </w:rPr>
      </w:pPr>
    </w:p>
    <w:p w14:paraId="7CC794DB" w14:textId="0FA688E0" w:rsidR="00740E71" w:rsidRDefault="00740E71" w:rsidP="00740E71">
      <w:pPr>
        <w:pStyle w:val="NoSpacing"/>
        <w:jc w:val="both"/>
        <w:rPr>
          <w:rFonts w:ascii="Times New Roman" w:hAnsi="Times New Roman" w:cs="Times New Roman"/>
          <w:sz w:val="26"/>
          <w:szCs w:val="26"/>
        </w:rPr>
      </w:pPr>
    </w:p>
    <w:p w14:paraId="02DDC1D6" w14:textId="1061D4A9" w:rsidR="00740E71" w:rsidRDefault="00740E71" w:rsidP="00740E71">
      <w:pPr>
        <w:pStyle w:val="NoSpacing"/>
        <w:jc w:val="both"/>
        <w:rPr>
          <w:rFonts w:ascii="Times New Roman" w:hAnsi="Times New Roman" w:cs="Times New Roman"/>
          <w:sz w:val="26"/>
          <w:szCs w:val="26"/>
        </w:rPr>
      </w:pPr>
    </w:p>
    <w:p w14:paraId="1428076E" w14:textId="77777777" w:rsidR="00740E71" w:rsidRPr="00C80F4F" w:rsidRDefault="00740E71" w:rsidP="00740E71">
      <w:pPr>
        <w:pStyle w:val="NoSpacing"/>
        <w:jc w:val="both"/>
        <w:rPr>
          <w:rFonts w:ascii="Times New Roman" w:hAnsi="Times New Roman" w:cs="Times New Roman"/>
          <w:sz w:val="26"/>
          <w:szCs w:val="26"/>
        </w:rPr>
      </w:pPr>
    </w:p>
    <w:p w14:paraId="18846FF9" w14:textId="77777777" w:rsidR="00740E71" w:rsidRPr="00C80F4F" w:rsidRDefault="00740E71" w:rsidP="00740E71">
      <w:pPr>
        <w:pStyle w:val="NoSpacing"/>
        <w:jc w:val="both"/>
        <w:rPr>
          <w:rFonts w:ascii="Times New Roman" w:hAnsi="Times New Roman" w:cs="Times New Roman"/>
          <w:b/>
          <w:bCs/>
        </w:rPr>
      </w:pPr>
      <w:r w:rsidRPr="00C80F4F">
        <w:rPr>
          <w:rFonts w:ascii="Times New Roman" w:hAnsi="Times New Roman" w:cs="Times New Roman"/>
          <w:b/>
          <w:bCs/>
        </w:rPr>
        <w:t>COMMENT</w:t>
      </w:r>
    </w:p>
    <w:p w14:paraId="2BC8562F" w14:textId="77777777" w:rsidR="00740E71" w:rsidRPr="00C80F4F" w:rsidRDefault="00740E71" w:rsidP="00740E71">
      <w:pPr>
        <w:pStyle w:val="NoSpacing"/>
        <w:jc w:val="both"/>
        <w:rPr>
          <w:rFonts w:ascii="Times New Roman" w:hAnsi="Times New Roman" w:cs="Times New Roman"/>
        </w:rPr>
      </w:pPr>
    </w:p>
    <w:p w14:paraId="43E2A655" w14:textId="3B049354" w:rsidR="00740E71" w:rsidRPr="00C80F4F" w:rsidRDefault="005238FB" w:rsidP="00740E71">
      <w:pPr>
        <w:pStyle w:val="NoSpacing"/>
        <w:ind w:firstLine="450"/>
        <w:jc w:val="both"/>
        <w:rPr>
          <w:rFonts w:ascii="Times New Roman" w:hAnsi="Times New Roman" w:cs="Times New Roman"/>
        </w:rPr>
      </w:pPr>
      <w:r w:rsidRPr="005238FB">
        <w:rPr>
          <w:rFonts w:ascii="Times New Roman" w:hAnsi="Times New Roman" w:cs="Times New Roman"/>
        </w:rPr>
        <w:t>The comment to Wis JI–Children 303 was approved</w:t>
      </w:r>
      <w:r w:rsidRPr="005238FB">
        <w:rPr>
          <w:rFonts w:ascii="Times New Roman" w:hAnsi="Times New Roman" w:cs="Times New Roman"/>
        </w:rPr>
        <w:t xml:space="preserve"> </w:t>
      </w:r>
      <w:r w:rsidR="00740E71" w:rsidRPr="00C80F4F">
        <w:rPr>
          <w:rFonts w:ascii="Times New Roman" w:hAnsi="Times New Roman" w:cs="Times New Roman"/>
        </w:rPr>
        <w:t xml:space="preserve">by the Committee in 2001 and revised in 2004. This revision was approved by the Committee in </w:t>
      </w:r>
      <w:r w:rsidR="00C80F4F" w:rsidRPr="00C80F4F">
        <w:rPr>
          <w:rFonts w:ascii="Times New Roman" w:hAnsi="Times New Roman" w:cs="Times New Roman"/>
        </w:rPr>
        <w:t>May 2026</w:t>
      </w:r>
      <w:r w:rsidR="00740E71" w:rsidRPr="00C80F4F">
        <w:rPr>
          <w:rFonts w:ascii="Times New Roman" w:hAnsi="Times New Roman" w:cs="Times New Roman"/>
        </w:rPr>
        <w:t>. It reflects 2025 Wisconsin Act 94, which amended the age threshold in Wis. Stat. § 48.415(1m) from 72 hours to 30 days.</w:t>
      </w:r>
    </w:p>
    <w:p w14:paraId="56E01E9E" w14:textId="77777777" w:rsidR="00740E71" w:rsidRPr="00C80F4F" w:rsidRDefault="00740E71" w:rsidP="00740E71">
      <w:pPr>
        <w:pStyle w:val="NoSpacing"/>
        <w:jc w:val="both"/>
        <w:rPr>
          <w:rFonts w:ascii="Times New Roman" w:hAnsi="Times New Roman" w:cs="Times New Roman"/>
        </w:rPr>
      </w:pPr>
    </w:p>
    <w:p w14:paraId="6F03843D" w14:textId="56DF3C6F" w:rsidR="00740E71" w:rsidRPr="00C80F4F" w:rsidRDefault="00740E71" w:rsidP="00740E71">
      <w:pPr>
        <w:pStyle w:val="NoSpacing"/>
        <w:ind w:firstLine="450"/>
        <w:jc w:val="both"/>
        <w:rPr>
          <w:rFonts w:ascii="Times New Roman" w:hAnsi="Times New Roman" w:cs="Times New Roman"/>
        </w:rPr>
      </w:pPr>
      <w:r w:rsidRPr="00C80F4F">
        <w:rPr>
          <w:rFonts w:ascii="Times New Roman" w:hAnsi="Times New Roman" w:cs="Times New Roman"/>
        </w:rPr>
        <w:t>Wis. Stat. § 48.415 (1m) read</w:t>
      </w:r>
      <w:r w:rsidR="00CD28CF">
        <w:rPr>
          <w:rFonts w:ascii="Times New Roman" w:hAnsi="Times New Roman" w:cs="Times New Roman"/>
        </w:rPr>
        <w:t>s</w:t>
      </w:r>
      <w:r w:rsidRPr="00C80F4F">
        <w:rPr>
          <w:rFonts w:ascii="Times New Roman" w:hAnsi="Times New Roman" w:cs="Times New Roman"/>
        </w:rPr>
        <w:t>:</w:t>
      </w:r>
    </w:p>
    <w:p w14:paraId="74F50720" w14:textId="77777777" w:rsidR="00740E71" w:rsidRPr="00C80F4F" w:rsidRDefault="00740E71" w:rsidP="00740E71">
      <w:pPr>
        <w:pStyle w:val="NoSpacing"/>
        <w:jc w:val="both"/>
        <w:rPr>
          <w:rFonts w:ascii="Times New Roman" w:hAnsi="Times New Roman" w:cs="Times New Roman"/>
        </w:rPr>
      </w:pPr>
    </w:p>
    <w:p w14:paraId="771F5746" w14:textId="77777777" w:rsidR="00740E71" w:rsidRPr="00C80F4F" w:rsidRDefault="00740E71" w:rsidP="00740E71">
      <w:pPr>
        <w:pStyle w:val="NoSpacing"/>
        <w:ind w:left="450" w:right="450"/>
        <w:jc w:val="both"/>
        <w:rPr>
          <w:rFonts w:ascii="Times New Roman" w:hAnsi="Times New Roman" w:cs="Times New Roman"/>
        </w:rPr>
      </w:pPr>
      <w:r w:rsidRPr="00C80F4F">
        <w:rPr>
          <w:rFonts w:ascii="Times New Roman" w:hAnsi="Times New Roman" w:cs="Times New Roman"/>
        </w:rPr>
        <w:t>48.415. Grounds for involuntary termination of parental rights. At the fact-finding hearing the court or jury may make a finding that grounds exist for the termination of parental rights. Grounds for termination of parental rights shall be one of the following:</w:t>
      </w:r>
    </w:p>
    <w:p w14:paraId="086413FD" w14:textId="77777777" w:rsidR="00740E71" w:rsidRPr="00C80F4F" w:rsidRDefault="00740E71" w:rsidP="00740E71">
      <w:pPr>
        <w:pStyle w:val="NoSpacing"/>
        <w:jc w:val="both"/>
        <w:rPr>
          <w:rFonts w:ascii="Times New Roman" w:hAnsi="Times New Roman" w:cs="Times New Roman"/>
        </w:rPr>
      </w:pPr>
    </w:p>
    <w:p w14:paraId="025F989F" w14:textId="2D448066" w:rsidR="00740E71" w:rsidRPr="00C80F4F" w:rsidRDefault="00740E71" w:rsidP="00740E71">
      <w:pPr>
        <w:pStyle w:val="NoSpacing"/>
        <w:ind w:left="450" w:right="450"/>
        <w:jc w:val="both"/>
        <w:rPr>
          <w:rFonts w:ascii="Times New Roman" w:hAnsi="Times New Roman" w:cs="Times New Roman"/>
        </w:rPr>
      </w:pPr>
      <w:r w:rsidRPr="00C80F4F">
        <w:rPr>
          <w:rFonts w:ascii="Times New Roman" w:hAnsi="Times New Roman" w:cs="Times New Roman"/>
        </w:rPr>
        <w:t>(1m) Relinquishment. Relinquishment, which shall be established by proving that a court of competent jurisdiction has found under § 48.13(2m) that the parent has relinquished custody of the child under § 48.195(1</w:t>
      </w:r>
      <w:r w:rsidR="00DF02F7" w:rsidRPr="00C80F4F">
        <w:rPr>
          <w:rFonts w:ascii="Times New Roman" w:hAnsi="Times New Roman" w:cs="Times New Roman"/>
        </w:rPr>
        <w:t>m</w:t>
      </w:r>
      <w:r w:rsidRPr="00C80F4F">
        <w:rPr>
          <w:rFonts w:ascii="Times New Roman" w:hAnsi="Times New Roman" w:cs="Times New Roman"/>
        </w:rPr>
        <w:t>) when the child was 30 days old or younger.</w:t>
      </w:r>
    </w:p>
    <w:p w14:paraId="286EB8B8" w14:textId="77777777" w:rsidR="00740E71" w:rsidRPr="00C80F4F" w:rsidRDefault="00740E71" w:rsidP="00740E71">
      <w:pPr>
        <w:pStyle w:val="NoSpacing"/>
        <w:jc w:val="both"/>
        <w:rPr>
          <w:rFonts w:ascii="Times New Roman" w:hAnsi="Times New Roman" w:cs="Times New Roman"/>
        </w:rPr>
      </w:pPr>
    </w:p>
    <w:p w14:paraId="3AB14416" w14:textId="1F1D0BE1" w:rsidR="00740E71" w:rsidRPr="00C80F4F" w:rsidRDefault="00740E71" w:rsidP="00740E71">
      <w:pPr>
        <w:pStyle w:val="NoSpacing"/>
        <w:ind w:firstLine="450"/>
        <w:jc w:val="both"/>
        <w:rPr>
          <w:rFonts w:ascii="Times New Roman" w:hAnsi="Times New Roman" w:cs="Times New Roman"/>
        </w:rPr>
      </w:pPr>
      <w:r w:rsidRPr="00C80F4F">
        <w:rPr>
          <w:rFonts w:ascii="Times New Roman" w:hAnsi="Times New Roman" w:cs="Times New Roman"/>
        </w:rPr>
        <w:t>The CHIPS ground for relinquishment of custody is JI–Children 212.</w:t>
      </w:r>
    </w:p>
    <w:p w14:paraId="3D8DD749" w14:textId="77777777" w:rsidR="00740E71" w:rsidRPr="00C80F4F" w:rsidRDefault="00740E71" w:rsidP="00740E71">
      <w:pPr>
        <w:pStyle w:val="NoSpacing"/>
        <w:jc w:val="both"/>
        <w:rPr>
          <w:rFonts w:ascii="Times New Roman" w:hAnsi="Times New Roman" w:cs="Times New Roman"/>
        </w:rPr>
      </w:pPr>
    </w:p>
    <w:p w14:paraId="0588D674" w14:textId="77777777" w:rsidR="00740E71" w:rsidRPr="00C80F4F" w:rsidRDefault="00740E71" w:rsidP="00740E71">
      <w:pPr>
        <w:pStyle w:val="NoSpacing"/>
        <w:ind w:firstLine="450"/>
        <w:jc w:val="both"/>
        <w:rPr>
          <w:rFonts w:ascii="Times New Roman" w:hAnsi="Times New Roman" w:cs="Times New Roman"/>
        </w:rPr>
      </w:pPr>
      <w:r w:rsidRPr="00C80F4F">
        <w:rPr>
          <w:rFonts w:ascii="Times New Roman" w:hAnsi="Times New Roman" w:cs="Times New Roman"/>
        </w:rPr>
        <w:t>Only the parent who has relinquished custody and was the subject of the CHIPS order may have his or her parental rights terminated on this ground.</w:t>
      </w:r>
    </w:p>
    <w:p w14:paraId="6D97C5D4" w14:textId="77777777" w:rsidR="00740E71" w:rsidRPr="00C80F4F" w:rsidRDefault="00740E71" w:rsidP="00740E71">
      <w:pPr>
        <w:pStyle w:val="NoSpacing"/>
        <w:jc w:val="both"/>
        <w:rPr>
          <w:rFonts w:ascii="Times New Roman" w:hAnsi="Times New Roman" w:cs="Times New Roman"/>
        </w:rPr>
      </w:pPr>
    </w:p>
    <w:p w14:paraId="728D3DDD" w14:textId="414FF7FD" w:rsidR="00740E71" w:rsidRPr="00C80F4F" w:rsidRDefault="00740E71" w:rsidP="00740E71">
      <w:pPr>
        <w:pStyle w:val="NoSpacing"/>
        <w:ind w:firstLine="450"/>
        <w:jc w:val="both"/>
        <w:rPr>
          <w:rFonts w:ascii="Times New Roman" w:hAnsi="Times New Roman" w:cs="Times New Roman"/>
        </w:rPr>
      </w:pPr>
      <w:r w:rsidRPr="00C80F4F">
        <w:rPr>
          <w:rFonts w:ascii="Times New Roman" w:hAnsi="Times New Roman" w:cs="Times New Roman"/>
        </w:rPr>
        <w:t xml:space="preserve">The Committee concludes that a jury instruction for this ground is not necessary. The statute provides that a CHIPS finding of relinquishment, in combination with the fact that the child was 30 days old or younger at the time of relinquishment, is conclusive in establishing this ground for termination of the rights of the parent who relinquished custody. See </w:t>
      </w:r>
      <w:r w:rsidRPr="00C80F4F">
        <w:rPr>
          <w:rFonts w:ascii="Times New Roman" w:hAnsi="Times New Roman" w:cs="Times New Roman"/>
          <w:u w:val="single"/>
        </w:rPr>
        <w:t>Lee v. State Board of Dental Examiners</w:t>
      </w:r>
      <w:r w:rsidRPr="00C80F4F">
        <w:rPr>
          <w:rFonts w:ascii="Times New Roman" w:hAnsi="Times New Roman" w:cs="Times New Roman"/>
        </w:rPr>
        <w:t>, 29 Wis.</w:t>
      </w:r>
      <w:r w:rsidR="003B45F6">
        <w:rPr>
          <w:rFonts w:ascii="Times New Roman" w:hAnsi="Times New Roman" w:cs="Times New Roman"/>
        </w:rPr>
        <w:t xml:space="preserve"> </w:t>
      </w:r>
      <w:r w:rsidRPr="00C80F4F">
        <w:rPr>
          <w:rFonts w:ascii="Times New Roman" w:hAnsi="Times New Roman" w:cs="Times New Roman"/>
        </w:rPr>
        <w:t xml:space="preserve">2d 330, 139 N.W.2d 61 (1966); </w:t>
      </w:r>
      <w:r w:rsidRPr="00C80F4F">
        <w:rPr>
          <w:rFonts w:ascii="Times New Roman" w:hAnsi="Times New Roman" w:cs="Times New Roman"/>
          <w:u w:val="single"/>
        </w:rPr>
        <w:t>In re Estate of Safran</w:t>
      </w:r>
      <w:r w:rsidRPr="00C80F4F">
        <w:rPr>
          <w:rFonts w:ascii="Times New Roman" w:hAnsi="Times New Roman" w:cs="Times New Roman"/>
        </w:rPr>
        <w:t>, 102 Wis.</w:t>
      </w:r>
      <w:r w:rsidR="003B45F6">
        <w:rPr>
          <w:rFonts w:ascii="Times New Roman" w:hAnsi="Times New Roman" w:cs="Times New Roman"/>
        </w:rPr>
        <w:t xml:space="preserve"> </w:t>
      </w:r>
      <w:r w:rsidRPr="00C80F4F">
        <w:rPr>
          <w:rFonts w:ascii="Times New Roman" w:hAnsi="Times New Roman" w:cs="Times New Roman"/>
        </w:rPr>
        <w:t xml:space="preserve">2d 79, 306 N.W.2d 27 (1981). </w:t>
      </w:r>
    </w:p>
    <w:p w14:paraId="2F8B3E33" w14:textId="77777777" w:rsidR="00740E71" w:rsidRPr="00C80F4F" w:rsidRDefault="00740E71" w:rsidP="00740E71">
      <w:pPr>
        <w:pStyle w:val="NoSpacing"/>
        <w:jc w:val="both"/>
        <w:rPr>
          <w:rFonts w:ascii="Times New Roman" w:hAnsi="Times New Roman" w:cs="Times New Roman"/>
        </w:rPr>
      </w:pPr>
    </w:p>
    <w:p w14:paraId="0BDDE832" w14:textId="11428681" w:rsidR="00740E71" w:rsidRPr="00C80F4F" w:rsidRDefault="00AA77FA" w:rsidP="00740E71">
      <w:pPr>
        <w:pStyle w:val="NoSpacing"/>
        <w:ind w:firstLine="450"/>
        <w:jc w:val="both"/>
        <w:rPr>
          <w:rFonts w:ascii="Times New Roman" w:hAnsi="Times New Roman" w:cs="Times New Roman"/>
        </w:rPr>
      </w:pPr>
      <w:r>
        <w:rPr>
          <w:rFonts w:ascii="Times New Roman" w:hAnsi="Times New Roman" w:cs="Times New Roman"/>
        </w:rPr>
        <w:t>The Committee</w:t>
      </w:r>
      <w:r w:rsidR="00740E71" w:rsidRPr="00C80F4F">
        <w:rPr>
          <w:rFonts w:ascii="Times New Roman" w:hAnsi="Times New Roman" w:cs="Times New Roman"/>
        </w:rPr>
        <w:t xml:space="preserve"> recognize</w:t>
      </w:r>
      <w:r>
        <w:rPr>
          <w:rFonts w:ascii="Times New Roman" w:hAnsi="Times New Roman" w:cs="Times New Roman"/>
        </w:rPr>
        <w:t>s that</w:t>
      </w:r>
      <w:r w:rsidR="00740E71" w:rsidRPr="00C80F4F">
        <w:rPr>
          <w:rFonts w:ascii="Times New Roman" w:hAnsi="Times New Roman" w:cs="Times New Roman"/>
        </w:rPr>
        <w:t xml:space="preserve"> there is a difference in language between the CHIPS finding (reasonably believe the child was </w:t>
      </w:r>
      <w:r w:rsidR="0078615F" w:rsidRPr="00C80F4F">
        <w:rPr>
          <w:rFonts w:ascii="Times New Roman" w:hAnsi="Times New Roman" w:cs="Times New Roman"/>
        </w:rPr>
        <w:t>30 days old or younger</w:t>
      </w:r>
      <w:r w:rsidR="00740E71" w:rsidRPr="00C80F4F">
        <w:rPr>
          <w:rFonts w:ascii="Times New Roman" w:hAnsi="Times New Roman" w:cs="Times New Roman"/>
        </w:rPr>
        <w:t xml:space="preserve">) and the TPR finding (child was </w:t>
      </w:r>
      <w:r w:rsidR="0078615F" w:rsidRPr="00C80F4F">
        <w:rPr>
          <w:rFonts w:ascii="Times New Roman" w:hAnsi="Times New Roman" w:cs="Times New Roman"/>
        </w:rPr>
        <w:t>30 days old or younger</w:t>
      </w:r>
      <w:r w:rsidR="00740E71" w:rsidRPr="00C80F4F">
        <w:rPr>
          <w:rFonts w:ascii="Times New Roman" w:hAnsi="Times New Roman" w:cs="Times New Roman"/>
        </w:rPr>
        <w:t>). This difference could create a triable issue.</w:t>
      </w:r>
    </w:p>
    <w:p w14:paraId="3E302887" w14:textId="588FA127" w:rsidR="0078615F" w:rsidRPr="00C80F4F" w:rsidRDefault="0078615F" w:rsidP="00740E71">
      <w:pPr>
        <w:pStyle w:val="NoSpacing"/>
        <w:ind w:firstLine="450"/>
        <w:jc w:val="both"/>
        <w:rPr>
          <w:rFonts w:ascii="Times New Roman" w:hAnsi="Times New Roman" w:cs="Times New Roman"/>
        </w:rPr>
      </w:pPr>
    </w:p>
    <w:p w14:paraId="5B218C72" w14:textId="1929DEEC" w:rsidR="00740E71" w:rsidRPr="00C80F4F" w:rsidRDefault="0078615F" w:rsidP="0078615F">
      <w:pPr>
        <w:ind w:firstLine="450"/>
        <w:jc w:val="both"/>
        <w:rPr>
          <w:rFonts w:ascii="Times New Roman" w:hAnsi="Times New Roman" w:cs="Times New Roman"/>
        </w:rPr>
      </w:pPr>
      <w:r w:rsidRPr="00C80F4F">
        <w:rPr>
          <w:rFonts w:ascii="Times New Roman" w:hAnsi="Times New Roman" w:cs="Times New Roman"/>
        </w:rPr>
        <w:t xml:space="preserve">2025 Wisconsin Act 94 [effective date: March 15, 2026] amended Wis. Stat. § 48.415(1m) to change the age threshold from 72 hours to 30 days, consistent with the parallel amendment to the safe-haven relinquishment statute at Wis. Stat. § 48.195(1m)(a) (intro.). The CHIPS instruction, Wis JI–Children 212, has been similarly revised. For cases involving relinquishments that occurred before March 15, 2026, the </w:t>
      </w:r>
      <w:r w:rsidRPr="00C80F4F">
        <w:rPr>
          <w:rFonts w:ascii="Times New Roman" w:hAnsi="Times New Roman" w:cs="Times New Roman"/>
        </w:rPr>
        <w:lastRenderedPageBreak/>
        <w:t>prior 72-hour threshold applies. The observation in the preceding paragraph about the difference in language between the CHIPS standard (“reasonably believe the child was 30 days old or younger”) and the TPR standard (“child was 30 days old or younger”) continues to apply under the amended statute.</w:t>
      </w:r>
    </w:p>
    <w:p w14:paraId="187E1DC2" w14:textId="3F286949" w:rsidR="0074214D" w:rsidRPr="00C80F4F" w:rsidRDefault="00740E71" w:rsidP="0078615F">
      <w:pPr>
        <w:pStyle w:val="NoSpacing"/>
        <w:ind w:firstLine="450"/>
        <w:jc w:val="both"/>
        <w:rPr>
          <w:rFonts w:ascii="Times New Roman" w:hAnsi="Times New Roman" w:cs="Times New Roman"/>
        </w:rPr>
      </w:pPr>
      <w:r w:rsidRPr="00C80F4F">
        <w:rPr>
          <w:rFonts w:ascii="Times New Roman" w:hAnsi="Times New Roman" w:cs="Times New Roman"/>
        </w:rPr>
        <w:t>Summary Judgments and Directed Verdicts. See Special Materials, SM</w:t>
      </w:r>
      <w:r w:rsidR="0078615F" w:rsidRPr="00C80F4F">
        <w:rPr>
          <w:rFonts w:ascii="Times New Roman" w:hAnsi="Times New Roman" w:cs="Times New Roman"/>
        </w:rPr>
        <w:t>–</w:t>
      </w:r>
      <w:r w:rsidRPr="00C80F4F">
        <w:rPr>
          <w:rFonts w:ascii="Times New Roman" w:hAnsi="Times New Roman" w:cs="Times New Roman"/>
        </w:rPr>
        <w:t>2, at the end of this publication for a discussion of the use of summary judgments and directed verdicts in CHIPS and TPR proceedings.</w:t>
      </w:r>
    </w:p>
    <w:sectPr w:rsidR="0074214D" w:rsidRPr="00C80F4F" w:rsidSect="00C80F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1B290" w14:textId="77777777" w:rsidR="00740E71" w:rsidRDefault="00740E71" w:rsidP="00740E71">
      <w:pPr>
        <w:spacing w:after="0" w:line="240" w:lineRule="auto"/>
      </w:pPr>
      <w:r>
        <w:separator/>
      </w:r>
    </w:p>
  </w:endnote>
  <w:endnote w:type="continuationSeparator" w:id="0">
    <w:p w14:paraId="0A268B21" w14:textId="77777777" w:rsidR="00740E71" w:rsidRDefault="00740E71" w:rsidP="00740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600D5" w14:textId="77777777" w:rsidR="00C80F4F" w:rsidRDefault="00C80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BDF0F" w14:textId="77777777" w:rsidR="00740E71" w:rsidRDefault="00740E71" w:rsidP="00740E71">
    <w:pPr>
      <w:pStyle w:val="Footer"/>
      <w:jc w:val="both"/>
      <w:rPr>
        <w:rFonts w:ascii="Arial" w:hAnsi="Arial" w:cs="Arial"/>
        <w:sz w:val="20"/>
        <w:szCs w:val="20"/>
      </w:rPr>
    </w:pPr>
  </w:p>
  <w:p w14:paraId="3D134659" w14:textId="534E4DB0" w:rsidR="00740E71" w:rsidRPr="00740E71" w:rsidRDefault="00740E71" w:rsidP="00740E71">
    <w:pPr>
      <w:pStyle w:val="Footer"/>
      <w:jc w:val="both"/>
      <w:rPr>
        <w:rFonts w:ascii="Arial" w:hAnsi="Arial" w:cs="Arial"/>
        <w:sz w:val="20"/>
        <w:szCs w:val="20"/>
      </w:rPr>
    </w:pPr>
    <w:r w:rsidRPr="00740E71">
      <w:rPr>
        <w:rFonts w:ascii="Arial" w:hAnsi="Arial" w:cs="Arial"/>
        <w:sz w:val="20"/>
        <w:szCs w:val="20"/>
      </w:rPr>
      <w:t xml:space="preserve">Wisconsin Court System, </w:t>
    </w:r>
    <w:r w:rsidR="00C80F4F">
      <w:rPr>
        <w:rFonts w:ascii="Arial" w:hAnsi="Arial" w:cs="Arial"/>
        <w:sz w:val="20"/>
        <w:szCs w:val="20"/>
      </w:rPr>
      <w:t>7</w:t>
    </w:r>
    <w:r w:rsidRPr="00740E71">
      <w:rPr>
        <w:rFonts w:ascii="Arial" w:hAnsi="Arial" w:cs="Arial"/>
        <w:sz w:val="20"/>
        <w:szCs w:val="20"/>
      </w:rPr>
      <w:t>/2026</w:t>
    </w:r>
    <w:r w:rsidRPr="00740E71">
      <w:rPr>
        <w:rFonts w:ascii="Arial" w:hAnsi="Arial" w:cs="Arial"/>
        <w:sz w:val="20"/>
        <w:szCs w:val="20"/>
      </w:rPr>
      <w:tab/>
    </w:r>
    <w:r w:rsidRPr="00740E71">
      <w:rPr>
        <w:rFonts w:ascii="Arial" w:hAnsi="Arial" w:cs="Arial"/>
        <w:sz w:val="20"/>
        <w:szCs w:val="20"/>
      </w:rPr>
      <w:tab/>
      <w:t>(</w:t>
    </w:r>
    <w:r w:rsidR="00C80F4F">
      <w:rPr>
        <w:rFonts w:ascii="Arial" w:hAnsi="Arial" w:cs="Arial"/>
        <w:sz w:val="20"/>
        <w:szCs w:val="20"/>
      </w:rPr>
      <w:t xml:space="preserve">Release No. </w:t>
    </w:r>
    <w:r w:rsidRPr="00740E71">
      <w:rPr>
        <w:rFonts w:ascii="Arial" w:hAnsi="Arial" w:cs="Arial"/>
        <w:sz w:val="20"/>
        <w:szCs w:val="20"/>
      </w:rPr>
      <w:t>6)</w:t>
    </w:r>
  </w:p>
  <w:sdt>
    <w:sdtPr>
      <w:rPr>
        <w:rFonts w:ascii="Arial" w:hAnsi="Arial" w:cs="Arial"/>
        <w:sz w:val="20"/>
        <w:szCs w:val="20"/>
      </w:rPr>
      <w:id w:val="308986580"/>
      <w:docPartObj>
        <w:docPartGallery w:val="Page Numbers (Bottom of Page)"/>
        <w:docPartUnique/>
      </w:docPartObj>
    </w:sdtPr>
    <w:sdtEndPr>
      <w:rPr>
        <w:noProof/>
      </w:rPr>
    </w:sdtEndPr>
    <w:sdtContent>
      <w:p w14:paraId="6028AE1F" w14:textId="59A8D57F" w:rsidR="00740E71" w:rsidRPr="00740E71" w:rsidRDefault="00740E71">
        <w:pPr>
          <w:pStyle w:val="Footer"/>
          <w:jc w:val="center"/>
          <w:rPr>
            <w:rFonts w:ascii="Arial" w:hAnsi="Arial" w:cs="Arial"/>
            <w:sz w:val="20"/>
            <w:szCs w:val="20"/>
          </w:rPr>
        </w:pPr>
        <w:r w:rsidRPr="00740E71">
          <w:rPr>
            <w:rFonts w:ascii="Arial" w:hAnsi="Arial" w:cs="Arial"/>
            <w:sz w:val="20"/>
            <w:szCs w:val="20"/>
          </w:rPr>
          <w:fldChar w:fldCharType="begin"/>
        </w:r>
        <w:r w:rsidRPr="00740E71">
          <w:rPr>
            <w:rFonts w:ascii="Arial" w:hAnsi="Arial" w:cs="Arial"/>
            <w:sz w:val="20"/>
            <w:szCs w:val="20"/>
          </w:rPr>
          <w:instrText xml:space="preserve"> PAGE   \* MERGEFORMAT </w:instrText>
        </w:r>
        <w:r w:rsidRPr="00740E71">
          <w:rPr>
            <w:rFonts w:ascii="Arial" w:hAnsi="Arial" w:cs="Arial"/>
            <w:sz w:val="20"/>
            <w:szCs w:val="20"/>
          </w:rPr>
          <w:fldChar w:fldCharType="separate"/>
        </w:r>
        <w:r w:rsidRPr="00740E71">
          <w:rPr>
            <w:rFonts w:ascii="Arial" w:hAnsi="Arial" w:cs="Arial"/>
            <w:noProof/>
            <w:sz w:val="20"/>
            <w:szCs w:val="20"/>
          </w:rPr>
          <w:t>2</w:t>
        </w:r>
        <w:r w:rsidRPr="00740E71">
          <w:rPr>
            <w:rFonts w:ascii="Arial" w:hAnsi="Arial" w:cs="Arial"/>
            <w:noProof/>
            <w:sz w:val="20"/>
            <w:szCs w:val="20"/>
          </w:rPr>
          <w:fldChar w:fldCharType="end"/>
        </w:r>
      </w:p>
    </w:sdtContent>
  </w:sdt>
  <w:p w14:paraId="1235C6AF" w14:textId="77777777" w:rsidR="00740E71" w:rsidRDefault="00740E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51F6" w14:textId="77777777" w:rsidR="00C80F4F" w:rsidRDefault="00C80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00EC0" w14:textId="77777777" w:rsidR="00740E71" w:rsidRDefault="00740E71" w:rsidP="00740E71">
      <w:pPr>
        <w:spacing w:after="0" w:line="240" w:lineRule="auto"/>
      </w:pPr>
      <w:r>
        <w:separator/>
      </w:r>
    </w:p>
  </w:footnote>
  <w:footnote w:type="continuationSeparator" w:id="0">
    <w:p w14:paraId="6202B028" w14:textId="77777777" w:rsidR="00740E71" w:rsidRDefault="00740E71" w:rsidP="00740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F69F7" w14:textId="77777777" w:rsidR="00C80F4F" w:rsidRDefault="00C80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39D6" w14:textId="77777777" w:rsidR="00740E71" w:rsidRDefault="00740E71" w:rsidP="00740E71">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26BDC725" w14:textId="511CE27A" w:rsidR="00740E71" w:rsidRDefault="00740E71" w:rsidP="00740E71">
    <w:pPr>
      <w:widowControl w:val="0"/>
      <w:tabs>
        <w:tab w:val="center" w:pos="4680"/>
        <w:tab w:val="right" w:pos="9360"/>
      </w:tabs>
      <w:autoSpaceDE w:val="0"/>
      <w:autoSpaceDN w:val="0"/>
      <w:adjustRightInd w:val="0"/>
      <w:spacing w:after="0" w:line="240" w:lineRule="auto"/>
      <w:jc w:val="both"/>
      <w:rPr>
        <w:rFonts w:ascii="Arial Black" w:eastAsia="Times New Roman" w:hAnsi="Arial Black" w:cs="Times New Roman"/>
        <w:b/>
        <w:bCs/>
        <w:sz w:val="28"/>
        <w:szCs w:val="28"/>
      </w:rPr>
    </w:pPr>
    <w:r w:rsidRPr="00740E71">
      <w:rPr>
        <w:rFonts w:ascii="Helvetica" w:eastAsia="Times New Roman" w:hAnsi="Helvetica" w:cs="Helvetica"/>
        <w:b/>
        <w:bCs/>
        <w:sz w:val="28"/>
        <w:szCs w:val="28"/>
      </w:rPr>
      <w:t>303</w:t>
    </w:r>
    <w:r w:rsidRPr="00740E71">
      <w:rPr>
        <w:rFonts w:ascii="Helvetica" w:eastAsia="Times New Roman" w:hAnsi="Helvetica" w:cs="Helvetica"/>
        <w:b/>
        <w:bCs/>
        <w:sz w:val="28"/>
        <w:szCs w:val="28"/>
      </w:rPr>
      <w:tab/>
      <w:t>WIS JI</w:t>
    </w:r>
    <w:r w:rsidRPr="00740E71">
      <w:rPr>
        <w:rFonts w:ascii="Helvetica" w:eastAsia="Times New Roman" w:hAnsi="Helvetica" w:cs="Helvetica"/>
        <w:b/>
        <w:bCs/>
        <w:sz w:val="28"/>
        <w:szCs w:val="28"/>
      </w:rPr>
      <w:noBreakHyphen/>
      <w:t>CHILDREN</w:t>
    </w:r>
    <w:r w:rsidRPr="00740E71">
      <w:rPr>
        <w:rFonts w:ascii="Helvetica" w:eastAsia="Times New Roman" w:hAnsi="Helvetica" w:cs="Helvetica"/>
        <w:b/>
        <w:bCs/>
        <w:sz w:val="28"/>
        <w:szCs w:val="28"/>
      </w:rPr>
      <w:tab/>
      <w:t>303</w:t>
    </w:r>
  </w:p>
  <w:p w14:paraId="07964C3A" w14:textId="2BF6F30F" w:rsidR="00740E71" w:rsidRDefault="00740E71" w:rsidP="00740E71">
    <w:pPr>
      <w:widowControl w:val="0"/>
      <w:tabs>
        <w:tab w:val="center" w:pos="4680"/>
        <w:tab w:val="right" w:pos="9360"/>
      </w:tabs>
      <w:autoSpaceDE w:val="0"/>
      <w:autoSpaceDN w:val="0"/>
      <w:adjustRightInd w:val="0"/>
      <w:spacing w:after="0" w:line="240" w:lineRule="auto"/>
      <w:jc w:val="both"/>
      <w:rPr>
        <w:rFonts w:ascii="Arial Black" w:eastAsia="Times New Roman" w:hAnsi="Arial Black" w:cs="Times New Roman"/>
        <w:b/>
        <w:bCs/>
        <w:sz w:val="28"/>
        <w:szCs w:val="28"/>
      </w:rPr>
    </w:pPr>
  </w:p>
  <w:p w14:paraId="3BD763CF" w14:textId="77777777" w:rsidR="00740E71" w:rsidRPr="00740E71" w:rsidRDefault="00740E71" w:rsidP="00740E71">
    <w:pPr>
      <w:widowControl w:val="0"/>
      <w:tabs>
        <w:tab w:val="center" w:pos="4680"/>
        <w:tab w:val="right" w:pos="9360"/>
      </w:tabs>
      <w:autoSpaceDE w:val="0"/>
      <w:autoSpaceDN w:val="0"/>
      <w:adjustRightInd w:val="0"/>
      <w:spacing w:after="0" w:line="240" w:lineRule="auto"/>
      <w:jc w:val="both"/>
      <w:rPr>
        <w:rFonts w:ascii="Arial Black" w:eastAsia="Times New Roman" w:hAnsi="Arial Black" w:cs="Times New Roman"/>
        <w:b/>
        <w:bCs/>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152E3" w14:textId="77777777" w:rsidR="00C80F4F" w:rsidRDefault="00C80F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E71"/>
    <w:rsid w:val="0008518C"/>
    <w:rsid w:val="003B45F6"/>
    <w:rsid w:val="005238FB"/>
    <w:rsid w:val="00610D46"/>
    <w:rsid w:val="0061387C"/>
    <w:rsid w:val="00740E71"/>
    <w:rsid w:val="0074214D"/>
    <w:rsid w:val="0078615F"/>
    <w:rsid w:val="00AA77FA"/>
    <w:rsid w:val="00B66AFC"/>
    <w:rsid w:val="00B87FE0"/>
    <w:rsid w:val="00BF719B"/>
    <w:rsid w:val="00C052B1"/>
    <w:rsid w:val="00C80F4F"/>
    <w:rsid w:val="00CD28CF"/>
    <w:rsid w:val="00DF02F7"/>
    <w:rsid w:val="00F96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C3CF"/>
  <w15:chartTrackingRefBased/>
  <w15:docId w15:val="{8E575C71-1DBC-4677-B16D-50BF5F9E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0E71"/>
    <w:pPr>
      <w:spacing w:after="0" w:line="240" w:lineRule="auto"/>
    </w:pPr>
  </w:style>
  <w:style w:type="paragraph" w:styleId="Header">
    <w:name w:val="header"/>
    <w:basedOn w:val="Normal"/>
    <w:link w:val="HeaderChar"/>
    <w:uiPriority w:val="99"/>
    <w:unhideWhenUsed/>
    <w:rsid w:val="00740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E71"/>
  </w:style>
  <w:style w:type="paragraph" w:styleId="Footer">
    <w:name w:val="footer"/>
    <w:basedOn w:val="Normal"/>
    <w:link w:val="FooterChar"/>
    <w:uiPriority w:val="99"/>
    <w:unhideWhenUsed/>
    <w:rsid w:val="00740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E71"/>
  </w:style>
  <w:style w:type="character" w:styleId="LineNumber">
    <w:name w:val="line number"/>
    <w:basedOn w:val="DefaultParagraphFont"/>
    <w:uiPriority w:val="99"/>
    <w:semiHidden/>
    <w:unhideWhenUsed/>
    <w:rsid w:val="00B66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9</cp:revision>
  <dcterms:created xsi:type="dcterms:W3CDTF">2026-07-29T18:52:00Z</dcterms:created>
  <dcterms:modified xsi:type="dcterms:W3CDTF">2026-07-29T19:03:00Z</dcterms:modified>
</cp:coreProperties>
</file>