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DB" w:rsidRPr="00DC20EE" w:rsidRDefault="00913DDB" w:rsidP="00913D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rPr>
      </w:pPr>
      <w:r w:rsidRPr="00DC20EE">
        <w:rPr>
          <w:rFonts w:ascii="Times New Roman" w:hAnsi="Times New Roman" w:cs="Times New Roman"/>
          <w:b/>
          <w:bCs/>
          <w:sz w:val="26"/>
          <w:szCs w:val="26"/>
        </w:rPr>
        <w:t>260</w:t>
      </w:r>
      <w:r w:rsidRPr="00DC20EE">
        <w:rPr>
          <w:rFonts w:ascii="Times New Roman" w:hAnsi="Times New Roman" w:cs="Times New Roman"/>
          <w:b/>
          <w:bCs/>
          <w:sz w:val="26"/>
          <w:szCs w:val="26"/>
        </w:rPr>
        <w:tab/>
      </w:r>
      <w:r w:rsidR="00764253" w:rsidRPr="00DC20EE">
        <w:rPr>
          <w:rFonts w:ascii="Times New Roman" w:hAnsi="Times New Roman" w:cs="Times New Roman"/>
          <w:b/>
          <w:bCs/>
          <w:sz w:val="26"/>
          <w:szCs w:val="26"/>
        </w:rPr>
        <w:t>[</w:t>
      </w:r>
      <w:r w:rsidRPr="00DC20EE">
        <w:rPr>
          <w:rFonts w:ascii="Times New Roman" w:hAnsi="Times New Roman" w:cs="Times New Roman"/>
          <w:b/>
          <w:bCs/>
          <w:sz w:val="26"/>
          <w:szCs w:val="26"/>
        </w:rPr>
        <w:t>EXPERT</w:t>
      </w:r>
      <w:r w:rsidR="00126B1A" w:rsidRPr="00DC20EE">
        <w:rPr>
          <w:rFonts w:ascii="Times New Roman" w:hAnsi="Times New Roman" w:cs="Times New Roman"/>
          <w:b/>
          <w:bCs/>
          <w:sz w:val="26"/>
          <w:szCs w:val="26"/>
        </w:rPr>
        <w:t>]</w:t>
      </w:r>
      <w:r w:rsidR="00126B1A" w:rsidRPr="00DC20EE">
        <w:rPr>
          <w:rFonts w:ascii="Times New Roman" w:hAnsi="Times New Roman" w:cs="Times New Roman"/>
          <w:b/>
          <w:bCs/>
          <w:sz w:val="26"/>
          <w:szCs w:val="26"/>
          <w:vertAlign w:val="superscript"/>
        </w:rPr>
        <w:t>1</w:t>
      </w:r>
      <w:r w:rsidR="008D2FEC" w:rsidRPr="00DC20EE">
        <w:rPr>
          <w:rFonts w:ascii="Times New Roman" w:hAnsi="Times New Roman" w:cs="Times New Roman"/>
          <w:b/>
          <w:bCs/>
          <w:sz w:val="26"/>
          <w:szCs w:val="26"/>
        </w:rPr>
        <w:t xml:space="preserve"> OPINION</w:t>
      </w:r>
      <w:r w:rsidRPr="00DC20EE">
        <w:rPr>
          <w:rFonts w:ascii="Times New Roman" w:hAnsi="Times New Roman" w:cs="Times New Roman"/>
          <w:b/>
          <w:bCs/>
          <w:sz w:val="26"/>
          <w:szCs w:val="26"/>
        </w:rPr>
        <w:t xml:space="preserve"> TESTIMONY</w:t>
      </w:r>
    </w:p>
    <w:p w:rsidR="00B51887" w:rsidRPr="00DC20EE" w:rsidRDefault="00B51887" w:rsidP="00913DDB">
      <w:pPr>
        <w:pStyle w:val="NoSpacing"/>
        <w:jc w:val="both"/>
        <w:rPr>
          <w:sz w:val="26"/>
          <w:szCs w:val="26"/>
        </w:rPr>
      </w:pPr>
    </w:p>
    <w:p w:rsidR="00764253" w:rsidRPr="00DC20EE" w:rsidRDefault="00764253" w:rsidP="00764253">
      <w:pPr>
        <w:widowControl/>
        <w:autoSpaceDE/>
        <w:autoSpaceDN/>
        <w:adjustRightInd/>
        <w:jc w:val="both"/>
        <w:rPr>
          <w:rFonts w:ascii="Times New Roman" w:eastAsiaTheme="minorHAnsi" w:hAnsi="Times New Roman" w:cs="Times New Roman"/>
          <w:sz w:val="26"/>
          <w:szCs w:val="26"/>
        </w:rPr>
      </w:pPr>
    </w:p>
    <w:p w:rsidR="00913DDB" w:rsidRPr="00DC20EE" w:rsidRDefault="00913DDB" w:rsidP="00262895">
      <w:pPr>
        <w:pStyle w:val="NoSpacing"/>
        <w:spacing w:line="480" w:lineRule="auto"/>
        <w:ind w:firstLine="450"/>
        <w:jc w:val="both"/>
        <w:rPr>
          <w:sz w:val="26"/>
          <w:szCs w:val="26"/>
        </w:rPr>
      </w:pPr>
      <w:r w:rsidRPr="00DC20EE">
        <w:rPr>
          <w:sz w:val="26"/>
          <w:szCs w:val="26"/>
        </w:rPr>
        <w:t>Usually, witnesses can testify only to facts they know.</w:t>
      </w:r>
      <w:r w:rsidR="00262895">
        <w:rPr>
          <w:sz w:val="26"/>
          <w:szCs w:val="26"/>
        </w:rPr>
        <w:t xml:space="preserve"> </w:t>
      </w:r>
      <w:r w:rsidRPr="00DC20EE">
        <w:rPr>
          <w:sz w:val="26"/>
          <w:szCs w:val="26"/>
        </w:rPr>
        <w:t xml:space="preserve">But, a witness with </w:t>
      </w:r>
      <w:r w:rsidR="00D56F1C" w:rsidRPr="00DC20EE">
        <w:rPr>
          <w:sz w:val="26"/>
          <w:szCs w:val="26"/>
        </w:rPr>
        <w:t>(</w:t>
      </w:r>
      <w:r w:rsidRPr="00DC20EE">
        <w:rPr>
          <w:sz w:val="26"/>
          <w:szCs w:val="26"/>
        </w:rPr>
        <w:t>expertise</w:t>
      </w:r>
      <w:r w:rsidR="00D56F1C" w:rsidRPr="00DC20EE">
        <w:rPr>
          <w:sz w:val="26"/>
          <w:szCs w:val="26"/>
        </w:rPr>
        <w:t>)</w:t>
      </w:r>
      <w:r w:rsidR="0004422A" w:rsidRPr="00DC20EE">
        <w:rPr>
          <w:sz w:val="26"/>
          <w:szCs w:val="26"/>
          <w:vertAlign w:val="superscript"/>
        </w:rPr>
        <w:t>2</w:t>
      </w:r>
      <w:r w:rsidRPr="00DC20EE">
        <w:rPr>
          <w:sz w:val="26"/>
          <w:szCs w:val="26"/>
        </w:rPr>
        <w:t xml:space="preserve"> </w:t>
      </w:r>
      <w:r w:rsidR="00D56F1C" w:rsidRPr="00DC20EE">
        <w:rPr>
          <w:sz w:val="26"/>
          <w:szCs w:val="26"/>
        </w:rPr>
        <w:t>(</w:t>
      </w:r>
      <w:r w:rsidR="00454373" w:rsidRPr="00DC20EE">
        <w:rPr>
          <w:sz w:val="26"/>
          <w:szCs w:val="26"/>
        </w:rPr>
        <w:t>specialized knowledge</w:t>
      </w:r>
      <w:r w:rsidR="00D56F1C" w:rsidRPr="00DC20EE">
        <w:rPr>
          <w:sz w:val="26"/>
          <w:szCs w:val="26"/>
        </w:rPr>
        <w:t>)</w:t>
      </w:r>
      <w:r w:rsidR="00454373" w:rsidRPr="00DC20EE">
        <w:rPr>
          <w:sz w:val="26"/>
          <w:szCs w:val="26"/>
        </w:rPr>
        <w:t xml:space="preserve"> </w:t>
      </w:r>
      <w:r w:rsidRPr="00DC20EE">
        <w:rPr>
          <w:sz w:val="26"/>
          <w:szCs w:val="26"/>
        </w:rPr>
        <w:t xml:space="preserve">in a </w:t>
      </w:r>
      <w:r w:rsidR="00D56F1C" w:rsidRPr="00DC20EE">
        <w:rPr>
          <w:sz w:val="26"/>
          <w:szCs w:val="26"/>
        </w:rPr>
        <w:t>(</w:t>
      </w:r>
      <w:r w:rsidR="00454373" w:rsidRPr="00DC20EE">
        <w:rPr>
          <w:sz w:val="26"/>
          <w:szCs w:val="26"/>
        </w:rPr>
        <w:t>particular field</w:t>
      </w:r>
      <w:r w:rsidR="00D56F1C" w:rsidRPr="00DC20EE">
        <w:rPr>
          <w:sz w:val="26"/>
          <w:szCs w:val="26"/>
        </w:rPr>
        <w:t>)</w:t>
      </w:r>
      <w:r w:rsidR="00454373" w:rsidRPr="00DC20EE">
        <w:rPr>
          <w:sz w:val="26"/>
          <w:szCs w:val="26"/>
        </w:rPr>
        <w:t xml:space="preserve"> </w:t>
      </w:r>
      <w:r w:rsidRPr="00DC20EE">
        <w:rPr>
          <w:sz w:val="26"/>
          <w:szCs w:val="26"/>
        </w:rPr>
        <w:t>(specialty)</w:t>
      </w:r>
      <w:r w:rsidR="00D56F1C" w:rsidRPr="00DC20EE">
        <w:rPr>
          <w:sz w:val="26"/>
          <w:szCs w:val="26"/>
        </w:rPr>
        <w:t xml:space="preserve"> may give an opinion in that</w:t>
      </w:r>
      <w:r w:rsidRPr="00DC20EE">
        <w:rPr>
          <w:sz w:val="26"/>
          <w:szCs w:val="26"/>
        </w:rPr>
        <w:t xml:space="preserve"> </w:t>
      </w:r>
      <w:r w:rsidR="00D56F1C" w:rsidRPr="00DC20EE">
        <w:rPr>
          <w:sz w:val="26"/>
          <w:szCs w:val="26"/>
        </w:rPr>
        <w:t>(</w:t>
      </w:r>
      <w:r w:rsidR="00454373" w:rsidRPr="00DC20EE">
        <w:rPr>
          <w:sz w:val="26"/>
          <w:szCs w:val="26"/>
        </w:rPr>
        <w:t>field</w:t>
      </w:r>
      <w:r w:rsidR="00D56F1C" w:rsidRPr="00DC20EE">
        <w:rPr>
          <w:sz w:val="26"/>
          <w:szCs w:val="26"/>
        </w:rPr>
        <w:t>)</w:t>
      </w:r>
      <w:r w:rsidR="00454373" w:rsidRPr="00DC20EE">
        <w:rPr>
          <w:sz w:val="26"/>
          <w:szCs w:val="26"/>
        </w:rPr>
        <w:t xml:space="preserve"> </w:t>
      </w:r>
      <w:r w:rsidRPr="00DC20EE">
        <w:rPr>
          <w:sz w:val="26"/>
          <w:szCs w:val="26"/>
        </w:rPr>
        <w:t>(specialty). In determining the weight to be given an opinion, you should consider the qualifications and credibility of the expert</w:t>
      </w:r>
      <w:r w:rsidR="0004422A" w:rsidRPr="00DC20EE">
        <w:rPr>
          <w:sz w:val="26"/>
          <w:szCs w:val="26"/>
          <w:vertAlign w:val="superscript"/>
        </w:rPr>
        <w:t>3</w:t>
      </w:r>
      <w:r w:rsidR="008D2FEC" w:rsidRPr="00DC20EE">
        <w:rPr>
          <w:sz w:val="26"/>
          <w:szCs w:val="26"/>
        </w:rPr>
        <w:t xml:space="preserve"> </w:t>
      </w:r>
      <w:r w:rsidRPr="00DC20EE">
        <w:rPr>
          <w:sz w:val="26"/>
          <w:szCs w:val="26"/>
        </w:rPr>
        <w:t xml:space="preserve">and whether reasons for the opinion are based on facts in the case. Opinion evidence was admitted in this case to help you reach a conclusion. </w:t>
      </w:r>
      <w:r w:rsidR="00454373" w:rsidRPr="00DC20EE">
        <w:rPr>
          <w:sz w:val="26"/>
          <w:szCs w:val="26"/>
        </w:rPr>
        <w:t>You are not bound by any expert’</w:t>
      </w:r>
      <w:r w:rsidRPr="00DC20EE">
        <w:rPr>
          <w:sz w:val="26"/>
          <w:szCs w:val="26"/>
        </w:rPr>
        <w:t>s</w:t>
      </w:r>
      <w:r w:rsidR="0004422A" w:rsidRPr="00DC20EE">
        <w:rPr>
          <w:sz w:val="26"/>
          <w:szCs w:val="26"/>
          <w:vertAlign w:val="superscript"/>
        </w:rPr>
        <w:t>4</w:t>
      </w:r>
      <w:r w:rsidR="008D2FEC" w:rsidRPr="00DC20EE">
        <w:rPr>
          <w:sz w:val="26"/>
          <w:szCs w:val="26"/>
        </w:rPr>
        <w:t xml:space="preserve"> </w:t>
      </w:r>
      <w:r w:rsidRPr="00DC20EE">
        <w:rPr>
          <w:sz w:val="26"/>
          <w:szCs w:val="26"/>
        </w:rPr>
        <w:t>opinion.</w:t>
      </w:r>
    </w:p>
    <w:p w:rsidR="008D2FEC" w:rsidRPr="00DC20EE" w:rsidRDefault="008D2FEC" w:rsidP="008D2FEC">
      <w:pPr>
        <w:widowControl/>
        <w:autoSpaceDE/>
        <w:autoSpaceDN/>
        <w:adjustRightInd/>
        <w:ind w:left="450" w:right="450"/>
        <w:jc w:val="both"/>
        <w:rPr>
          <w:rFonts w:ascii="Times New Roman" w:eastAsiaTheme="minorHAnsi" w:hAnsi="Times New Roman" w:cs="Times New Roman"/>
          <w:sz w:val="26"/>
          <w:szCs w:val="26"/>
        </w:rPr>
      </w:pPr>
      <w:r w:rsidRPr="00DC20EE">
        <w:rPr>
          <w:rFonts w:ascii="Times New Roman" w:eastAsiaTheme="minorHAnsi" w:hAnsi="Times New Roman" w:cs="Times New Roman"/>
          <w:sz w:val="26"/>
          <w:szCs w:val="26"/>
        </w:rPr>
        <w:t>[CONTINUE WITH THE FOLLOWING IF OPINION WITNESSES HAVE GIVEN CONFLICTING TESTIMONY.]</w:t>
      </w:r>
    </w:p>
    <w:p w:rsidR="008D2FEC" w:rsidRPr="00DC20EE" w:rsidRDefault="008D2FEC" w:rsidP="008D2FEC">
      <w:pPr>
        <w:widowControl/>
        <w:autoSpaceDE/>
        <w:autoSpaceDN/>
        <w:adjustRightInd/>
        <w:ind w:left="450" w:right="450"/>
        <w:jc w:val="both"/>
        <w:rPr>
          <w:rFonts w:ascii="Times New Roman" w:eastAsiaTheme="minorHAnsi" w:hAnsi="Times New Roman" w:cs="Times New Roman"/>
          <w:sz w:val="26"/>
          <w:szCs w:val="26"/>
        </w:rPr>
      </w:pPr>
    </w:p>
    <w:p w:rsidR="00913DDB" w:rsidRPr="00DC20EE" w:rsidRDefault="008D2FEC" w:rsidP="00913DDB">
      <w:pPr>
        <w:pStyle w:val="NoSpacing"/>
        <w:spacing w:line="480" w:lineRule="auto"/>
        <w:ind w:firstLine="450"/>
        <w:jc w:val="both"/>
        <w:rPr>
          <w:sz w:val="26"/>
          <w:szCs w:val="26"/>
        </w:rPr>
      </w:pPr>
      <w:r w:rsidRPr="00DC20EE">
        <w:rPr>
          <w:sz w:val="26"/>
          <w:szCs w:val="26"/>
        </w:rPr>
        <w:t>[</w:t>
      </w:r>
      <w:r w:rsidR="00DC20EE" w:rsidRPr="00DC20EE">
        <w:rPr>
          <w:sz w:val="26"/>
          <w:szCs w:val="26"/>
        </w:rPr>
        <w:t>In resolving conflicts in</w:t>
      </w:r>
      <w:r w:rsidR="00913DDB" w:rsidRPr="00DC20EE">
        <w:rPr>
          <w:sz w:val="26"/>
          <w:szCs w:val="26"/>
        </w:rPr>
        <w:t xml:space="preserve"> </w:t>
      </w:r>
      <w:r w:rsidRPr="00DC20EE">
        <w:rPr>
          <w:sz w:val="26"/>
          <w:szCs w:val="26"/>
        </w:rPr>
        <w:t xml:space="preserve">opinion </w:t>
      </w:r>
      <w:r w:rsidR="00DC20EE" w:rsidRPr="00DC20EE">
        <w:rPr>
          <w:sz w:val="26"/>
          <w:szCs w:val="26"/>
        </w:rPr>
        <w:t>testimony, weigh the different</w:t>
      </w:r>
      <w:r w:rsidR="00913DDB" w:rsidRPr="00DC20EE">
        <w:rPr>
          <w:sz w:val="26"/>
          <w:szCs w:val="26"/>
        </w:rPr>
        <w:t xml:space="preserve"> opinions against each other and consider the qualif</w:t>
      </w:r>
      <w:r w:rsidR="00DC20EE" w:rsidRPr="00DC20EE">
        <w:rPr>
          <w:sz w:val="26"/>
          <w:szCs w:val="26"/>
        </w:rPr>
        <w:t>ications and credibility of the</w:t>
      </w:r>
      <w:r w:rsidR="00913DDB" w:rsidRPr="00DC20EE">
        <w:rPr>
          <w:sz w:val="26"/>
          <w:szCs w:val="26"/>
        </w:rPr>
        <w:t xml:space="preserve"> </w:t>
      </w:r>
      <w:r w:rsidRPr="00DC20EE">
        <w:rPr>
          <w:sz w:val="26"/>
          <w:szCs w:val="26"/>
        </w:rPr>
        <w:t xml:space="preserve">witness </w:t>
      </w:r>
      <w:r w:rsidR="00913DDB" w:rsidRPr="00DC20EE">
        <w:rPr>
          <w:sz w:val="26"/>
          <w:szCs w:val="26"/>
        </w:rPr>
        <w:t>and the reasons and f</w:t>
      </w:r>
      <w:r w:rsidRPr="00DC20EE">
        <w:rPr>
          <w:sz w:val="26"/>
          <w:szCs w:val="26"/>
        </w:rPr>
        <w:t>acts supporting their opinions.]</w:t>
      </w:r>
    </w:p>
    <w:p w:rsidR="00913DDB" w:rsidRPr="00DC20EE" w:rsidRDefault="00913DDB" w:rsidP="00913DDB">
      <w:pPr>
        <w:pStyle w:val="NoSpacing"/>
        <w:jc w:val="both"/>
        <w:rPr>
          <w:sz w:val="26"/>
          <w:szCs w:val="26"/>
        </w:rPr>
      </w:pPr>
    </w:p>
    <w:p w:rsidR="00764253" w:rsidRPr="00DC20EE" w:rsidRDefault="00764253" w:rsidP="00913DDB">
      <w:pPr>
        <w:pStyle w:val="NoSpacing"/>
        <w:jc w:val="both"/>
        <w:rPr>
          <w:b/>
          <w:bCs/>
          <w:sz w:val="22"/>
          <w:szCs w:val="22"/>
        </w:rPr>
      </w:pPr>
      <w:r w:rsidRPr="00DC20EE">
        <w:rPr>
          <w:b/>
          <w:bCs/>
          <w:sz w:val="22"/>
          <w:szCs w:val="22"/>
        </w:rPr>
        <w:t>NOTES</w:t>
      </w:r>
    </w:p>
    <w:p w:rsidR="00764253" w:rsidRPr="00DC20EE" w:rsidRDefault="00764253" w:rsidP="00913DDB">
      <w:pPr>
        <w:pStyle w:val="NoSpacing"/>
        <w:jc w:val="both"/>
        <w:rPr>
          <w:b/>
          <w:bCs/>
          <w:sz w:val="22"/>
          <w:szCs w:val="22"/>
        </w:rPr>
      </w:pPr>
    </w:p>
    <w:p w:rsidR="00764253" w:rsidRPr="00DC20EE" w:rsidRDefault="00D56F1C" w:rsidP="00D56F1C">
      <w:pPr>
        <w:pStyle w:val="NoSpacing"/>
        <w:numPr>
          <w:ilvl w:val="0"/>
          <w:numId w:val="1"/>
        </w:numPr>
        <w:tabs>
          <w:tab w:val="left" w:pos="900"/>
        </w:tabs>
        <w:ind w:left="0" w:firstLine="450"/>
        <w:jc w:val="both"/>
        <w:rPr>
          <w:b/>
          <w:bCs/>
          <w:sz w:val="22"/>
          <w:szCs w:val="22"/>
        </w:rPr>
      </w:pPr>
      <w:r w:rsidRPr="00DC20EE">
        <w:rPr>
          <w:bCs/>
          <w:sz w:val="22"/>
          <w:szCs w:val="22"/>
        </w:rPr>
        <w:t>The brackets around the word “expert” in the title signify that its inclusion is op</w:t>
      </w:r>
      <w:r w:rsidR="00994A0D" w:rsidRPr="00DC20EE">
        <w:rPr>
          <w:bCs/>
          <w:sz w:val="22"/>
          <w:szCs w:val="22"/>
        </w:rPr>
        <w:t>tional. The Committee suggests</w:t>
      </w:r>
      <w:r w:rsidRPr="00DC20EE">
        <w:rPr>
          <w:bCs/>
          <w:sz w:val="22"/>
          <w:szCs w:val="22"/>
        </w:rPr>
        <w:t xml:space="preserve"> omitting the term from the t</w:t>
      </w:r>
      <w:r w:rsidR="00994A0D" w:rsidRPr="00DC20EE">
        <w:rPr>
          <w:bCs/>
          <w:sz w:val="22"/>
          <w:szCs w:val="22"/>
        </w:rPr>
        <w:t>itle of the written instruction</w:t>
      </w:r>
      <w:r w:rsidRPr="00DC20EE">
        <w:rPr>
          <w:bCs/>
          <w:sz w:val="22"/>
          <w:szCs w:val="22"/>
        </w:rPr>
        <w:t xml:space="preserve"> provided to the jury to reduce the potent</w:t>
      </w:r>
      <w:r w:rsidR="00BA433E" w:rsidRPr="00DC20EE">
        <w:rPr>
          <w:bCs/>
          <w:sz w:val="22"/>
          <w:szCs w:val="22"/>
        </w:rPr>
        <w:t>ial risk of “judicial vouching.”</w:t>
      </w:r>
      <w:r w:rsidR="00FB3B09" w:rsidRPr="00DC20EE">
        <w:rPr>
          <w:bCs/>
          <w:sz w:val="22"/>
          <w:szCs w:val="22"/>
        </w:rPr>
        <w:t xml:space="preserve"> See note 2. </w:t>
      </w:r>
    </w:p>
    <w:p w:rsidR="00BA433E" w:rsidRPr="00DC20EE" w:rsidRDefault="00BA433E" w:rsidP="00BA433E">
      <w:pPr>
        <w:pStyle w:val="NoSpacing"/>
        <w:tabs>
          <w:tab w:val="left" w:pos="900"/>
        </w:tabs>
        <w:ind w:left="450"/>
        <w:jc w:val="both"/>
        <w:rPr>
          <w:b/>
          <w:bCs/>
          <w:sz w:val="22"/>
          <w:szCs w:val="22"/>
        </w:rPr>
      </w:pPr>
    </w:p>
    <w:p w:rsidR="00B20222" w:rsidRPr="00DC20EE" w:rsidRDefault="00B20222" w:rsidP="00B20222">
      <w:pPr>
        <w:pStyle w:val="NoSpacing"/>
        <w:numPr>
          <w:ilvl w:val="0"/>
          <w:numId w:val="1"/>
        </w:numPr>
        <w:tabs>
          <w:tab w:val="left" w:pos="900"/>
        </w:tabs>
        <w:ind w:left="0" w:firstLine="450"/>
        <w:jc w:val="both"/>
        <w:rPr>
          <w:bCs/>
          <w:sz w:val="22"/>
          <w:szCs w:val="22"/>
        </w:rPr>
      </w:pPr>
      <w:r w:rsidRPr="00DC20EE">
        <w:rPr>
          <w:bCs/>
          <w:sz w:val="22"/>
          <w:szCs w:val="22"/>
        </w:rPr>
        <w:t xml:space="preserve">To mitigate the risk of “judicial vouching”—the concern that a jury might place undue weight on testimony from a witness labeled as an “expert” by the judge—the Committee recommends that trial judges minimize any declarations or references to a witness’s expertise in the jury’s presence. This recommendation is based </w:t>
      </w:r>
      <w:r w:rsidR="0030097A" w:rsidRPr="00DC20EE">
        <w:rPr>
          <w:bCs/>
          <w:sz w:val="22"/>
          <w:szCs w:val="22"/>
        </w:rPr>
        <w:t xml:space="preserve">in part </w:t>
      </w:r>
      <w:r w:rsidRPr="00DC20EE">
        <w:rPr>
          <w:bCs/>
          <w:sz w:val="22"/>
          <w:szCs w:val="22"/>
        </w:rPr>
        <w:t>on Professor Daniel Blinka’s assessment that, under current rules of evidence, asking the court to make a formal finding of expertise before the jury is both inappropriate and unnecessary.</w:t>
      </w:r>
    </w:p>
    <w:p w:rsidR="00BA433E" w:rsidRPr="00DC20EE" w:rsidRDefault="00BA433E" w:rsidP="00BA433E">
      <w:pPr>
        <w:pStyle w:val="NoSpacing"/>
        <w:tabs>
          <w:tab w:val="left" w:pos="900"/>
        </w:tabs>
        <w:jc w:val="both"/>
        <w:rPr>
          <w:bCs/>
          <w:sz w:val="22"/>
          <w:szCs w:val="22"/>
        </w:rPr>
      </w:pPr>
    </w:p>
    <w:p w:rsidR="00BA433E" w:rsidRPr="00DC20EE" w:rsidRDefault="00BA433E" w:rsidP="00BA433E">
      <w:pPr>
        <w:pStyle w:val="NoSpacing"/>
        <w:tabs>
          <w:tab w:val="left" w:pos="900"/>
        </w:tabs>
        <w:jc w:val="both"/>
        <w:rPr>
          <w:bCs/>
          <w:sz w:val="22"/>
          <w:szCs w:val="22"/>
        </w:rPr>
      </w:pPr>
      <w:r w:rsidRPr="00DC20EE">
        <w:rPr>
          <w:bCs/>
          <w:sz w:val="22"/>
          <w:szCs w:val="22"/>
        </w:rPr>
        <w:t xml:space="preserve">As explained by </w:t>
      </w:r>
      <w:r w:rsidR="00B20222" w:rsidRPr="00DC20EE">
        <w:rPr>
          <w:bCs/>
          <w:sz w:val="22"/>
          <w:szCs w:val="22"/>
        </w:rPr>
        <w:t>Professor</w:t>
      </w:r>
      <w:r w:rsidRPr="00DC20EE">
        <w:rPr>
          <w:bCs/>
          <w:sz w:val="22"/>
          <w:szCs w:val="22"/>
        </w:rPr>
        <w:t xml:space="preserve"> Blinka:</w:t>
      </w:r>
    </w:p>
    <w:p w:rsidR="00BA433E" w:rsidRPr="00DC20EE" w:rsidRDefault="00BA433E" w:rsidP="00BA433E">
      <w:pPr>
        <w:pStyle w:val="ListParagraph"/>
        <w:rPr>
          <w:bCs/>
          <w:sz w:val="22"/>
          <w:szCs w:val="22"/>
        </w:rPr>
      </w:pPr>
    </w:p>
    <w:p w:rsidR="00BA433E" w:rsidRPr="00DC20EE" w:rsidRDefault="00BA433E" w:rsidP="00BA433E">
      <w:pPr>
        <w:pStyle w:val="NoSpacing"/>
        <w:tabs>
          <w:tab w:val="left" w:pos="900"/>
        </w:tabs>
        <w:ind w:left="900" w:right="1080"/>
        <w:jc w:val="both"/>
        <w:rPr>
          <w:bCs/>
          <w:sz w:val="22"/>
          <w:szCs w:val="22"/>
        </w:rPr>
      </w:pPr>
      <w:r w:rsidRPr="00DC20EE">
        <w:rPr>
          <w:bCs/>
          <w:sz w:val="22"/>
          <w:szCs w:val="22"/>
        </w:rPr>
        <w:t>There is no set procedure for qualifying an expert witness. Traditionally, the proponent elicits the witness’s education, training, and experience at the start of the direct examination.</w:t>
      </w:r>
      <w:bookmarkStart w:id="0" w:name="_GoBack"/>
      <w:bookmarkEnd w:id="0"/>
      <w:r w:rsidRPr="00DC20EE">
        <w:rPr>
          <w:bCs/>
          <w:sz w:val="22"/>
          <w:szCs w:val="22"/>
        </w:rPr>
        <w:t xml:space="preserve"> Under common law practice, the proponent then asked the court </w:t>
      </w:r>
      <w:r w:rsidRPr="00DC20EE">
        <w:rPr>
          <w:bCs/>
          <w:sz w:val="22"/>
          <w:szCs w:val="22"/>
        </w:rPr>
        <w:lastRenderedPageBreak/>
        <w:t>to make a “finding” that the witness was an expert in an identified field. If the witness’s credentials were dubious, the court might allow the opponent to voir dire the witness regarding qualifications. Before any questions were put to the witness regarding the facts of the case, the trial judge had to find that he or she was an “expert.”</w:t>
      </w:r>
    </w:p>
    <w:p w:rsidR="00B20222" w:rsidRPr="00DC20EE" w:rsidRDefault="00B20222" w:rsidP="00B20222">
      <w:pPr>
        <w:pStyle w:val="NoSpacing"/>
        <w:tabs>
          <w:tab w:val="left" w:pos="900"/>
        </w:tabs>
        <w:ind w:right="1080"/>
        <w:jc w:val="both"/>
        <w:rPr>
          <w:bCs/>
          <w:sz w:val="22"/>
          <w:szCs w:val="22"/>
        </w:rPr>
      </w:pPr>
    </w:p>
    <w:p w:rsidR="00B20222" w:rsidRPr="00DC20EE" w:rsidRDefault="00B20222" w:rsidP="00B20222">
      <w:pPr>
        <w:pStyle w:val="NoSpacing"/>
        <w:tabs>
          <w:tab w:val="left" w:pos="900"/>
        </w:tabs>
        <w:ind w:right="1080"/>
        <w:jc w:val="both"/>
        <w:rPr>
          <w:bCs/>
          <w:sz w:val="22"/>
          <w:szCs w:val="22"/>
        </w:rPr>
      </w:pPr>
      <w:r w:rsidRPr="00DC20EE">
        <w:rPr>
          <w:bCs/>
          <w:sz w:val="22"/>
          <w:szCs w:val="22"/>
        </w:rPr>
        <w:t xml:space="preserve">Daniel Blinka, Wisconsin Practice: Wisconsin Evidence § 702.601 (3d ed.2011). </w:t>
      </w:r>
    </w:p>
    <w:p w:rsidR="00BA433E" w:rsidRPr="00DC20EE" w:rsidRDefault="00BA433E" w:rsidP="00BA433E">
      <w:pPr>
        <w:pStyle w:val="NoSpacing"/>
        <w:tabs>
          <w:tab w:val="left" w:pos="900"/>
        </w:tabs>
        <w:ind w:left="900" w:right="1080"/>
        <w:jc w:val="both"/>
        <w:rPr>
          <w:bCs/>
          <w:sz w:val="22"/>
          <w:szCs w:val="22"/>
        </w:rPr>
      </w:pPr>
    </w:p>
    <w:p w:rsidR="00BA433E" w:rsidRPr="00DC20EE" w:rsidRDefault="0086371A" w:rsidP="00B20222">
      <w:pPr>
        <w:pStyle w:val="NoSpacing"/>
        <w:tabs>
          <w:tab w:val="left" w:pos="900"/>
        </w:tabs>
        <w:ind w:firstLine="450"/>
        <w:jc w:val="both"/>
        <w:rPr>
          <w:bCs/>
          <w:sz w:val="22"/>
          <w:szCs w:val="22"/>
        </w:rPr>
      </w:pPr>
      <w:r w:rsidRPr="00DC20EE">
        <w:rPr>
          <w:bCs/>
          <w:sz w:val="22"/>
          <w:szCs w:val="22"/>
        </w:rPr>
        <w:t>U</w:t>
      </w:r>
      <w:r w:rsidR="005250F3" w:rsidRPr="00DC20EE">
        <w:rPr>
          <w:bCs/>
          <w:sz w:val="22"/>
          <w:szCs w:val="22"/>
        </w:rPr>
        <w:t>nder Wis. Stat</w:t>
      </w:r>
      <w:r w:rsidR="00BA433E" w:rsidRPr="00DC20EE">
        <w:rPr>
          <w:bCs/>
          <w:sz w:val="22"/>
          <w:szCs w:val="22"/>
        </w:rPr>
        <w:t>. § 907.02, the common-law procedure is both inappropriate and unnecessary, partly because a formal finding of expertise could be mistaken by the jury for the judge’s endorsement of the witness’s testimony. Although the judge must determine the wi</w:t>
      </w:r>
      <w:r w:rsidR="00F15F96" w:rsidRPr="00DC20EE">
        <w:rPr>
          <w:bCs/>
          <w:sz w:val="22"/>
          <w:szCs w:val="22"/>
        </w:rPr>
        <w:t>tness’s qualifications under Wis. Stat</w:t>
      </w:r>
      <w:r w:rsidR="00BA433E" w:rsidRPr="00DC20EE">
        <w:rPr>
          <w:bCs/>
          <w:sz w:val="22"/>
          <w:szCs w:val="22"/>
        </w:rPr>
        <w:t>. § 901.04(1)(a), that finding need not be revealed to the jury.</w:t>
      </w:r>
    </w:p>
    <w:p w:rsidR="002E32DE" w:rsidRPr="00DC20EE" w:rsidRDefault="002E32DE" w:rsidP="0030097A">
      <w:pPr>
        <w:pStyle w:val="NoSpacing"/>
        <w:tabs>
          <w:tab w:val="left" w:pos="900"/>
        </w:tabs>
        <w:jc w:val="both"/>
        <w:rPr>
          <w:bCs/>
          <w:sz w:val="22"/>
          <w:szCs w:val="22"/>
        </w:rPr>
      </w:pPr>
    </w:p>
    <w:p w:rsidR="002E32DE" w:rsidRPr="00DC20EE" w:rsidRDefault="0030097A" w:rsidP="00B82A61">
      <w:pPr>
        <w:pStyle w:val="NoSpacing"/>
        <w:tabs>
          <w:tab w:val="left" w:pos="900"/>
        </w:tabs>
        <w:ind w:firstLine="450"/>
        <w:jc w:val="both"/>
        <w:rPr>
          <w:sz w:val="22"/>
          <w:szCs w:val="22"/>
        </w:rPr>
      </w:pPr>
      <w:r w:rsidRPr="00DC20EE">
        <w:rPr>
          <w:sz w:val="22"/>
          <w:szCs w:val="22"/>
        </w:rPr>
        <w:t>This</w:t>
      </w:r>
      <w:r w:rsidR="002E32DE" w:rsidRPr="00DC20EE">
        <w:rPr>
          <w:sz w:val="22"/>
          <w:szCs w:val="22"/>
        </w:rPr>
        <w:t xml:space="preserve"> issue </w:t>
      </w:r>
      <w:r w:rsidR="00B82A61" w:rsidRPr="00DC20EE">
        <w:rPr>
          <w:sz w:val="22"/>
          <w:szCs w:val="22"/>
        </w:rPr>
        <w:t xml:space="preserve">of qualifying an expert witness </w:t>
      </w:r>
      <w:r w:rsidR="002E32DE" w:rsidRPr="00DC20EE">
        <w:rPr>
          <w:sz w:val="22"/>
          <w:szCs w:val="22"/>
        </w:rPr>
        <w:t xml:space="preserve">was discussed in </w:t>
      </w:r>
      <w:r w:rsidR="002E32DE" w:rsidRPr="00DC20EE">
        <w:rPr>
          <w:sz w:val="22"/>
          <w:szCs w:val="22"/>
          <w:u w:val="single"/>
        </w:rPr>
        <w:t>State v. Schaffhausen</w:t>
      </w:r>
      <w:r w:rsidR="002E32DE" w:rsidRPr="00DC20EE">
        <w:rPr>
          <w:sz w:val="22"/>
          <w:szCs w:val="22"/>
        </w:rPr>
        <w:t xml:space="preserve">, </w:t>
      </w:r>
      <w:r w:rsidR="002E32DE" w:rsidRPr="00DC20EE">
        <w:rPr>
          <w:b/>
          <w:sz w:val="22"/>
          <w:szCs w:val="22"/>
        </w:rPr>
        <w:t>an unpublished decision</w:t>
      </w:r>
      <w:r w:rsidR="002E32DE" w:rsidRPr="00DC20EE">
        <w:rPr>
          <w:sz w:val="22"/>
          <w:szCs w:val="22"/>
        </w:rPr>
        <w:t xml:space="preserve"> of the Wisconsin Court of Appeals. 2014 AP 2370, decided July 14, 2015. Also see, the report of the National Commission on Forensic Science titled “Views of the Commission Regarding Judicial Vouching,” May 20, 2016, which recommends that trial judges not declare a witness to be an expert in the presence of the jury or refer to a witness as an expert.</w:t>
      </w:r>
    </w:p>
    <w:p w:rsidR="00D94C31" w:rsidRPr="00DC20EE" w:rsidRDefault="00D94C31" w:rsidP="00B20222">
      <w:pPr>
        <w:pStyle w:val="NoSpacing"/>
        <w:tabs>
          <w:tab w:val="left" w:pos="900"/>
        </w:tabs>
        <w:ind w:firstLine="450"/>
        <w:jc w:val="both"/>
        <w:rPr>
          <w:sz w:val="22"/>
          <w:szCs w:val="22"/>
        </w:rPr>
      </w:pPr>
    </w:p>
    <w:p w:rsidR="00D94C31" w:rsidRPr="00DC20EE" w:rsidRDefault="00D94C31" w:rsidP="00D94C31">
      <w:pPr>
        <w:pStyle w:val="NoSpacing"/>
        <w:numPr>
          <w:ilvl w:val="0"/>
          <w:numId w:val="1"/>
        </w:numPr>
        <w:tabs>
          <w:tab w:val="left" w:pos="900"/>
        </w:tabs>
        <w:ind w:left="0" w:firstLine="450"/>
        <w:jc w:val="both"/>
        <w:rPr>
          <w:bCs/>
          <w:sz w:val="22"/>
          <w:szCs w:val="22"/>
        </w:rPr>
      </w:pPr>
      <w:r w:rsidRPr="00DC20EE">
        <w:rPr>
          <w:sz w:val="22"/>
          <w:szCs w:val="22"/>
        </w:rPr>
        <w:t xml:space="preserve">See note 2, </w:t>
      </w:r>
      <w:r w:rsidRPr="00DC20EE">
        <w:rPr>
          <w:sz w:val="22"/>
          <w:szCs w:val="22"/>
          <w:u w:val="single"/>
        </w:rPr>
        <w:t>supra</w:t>
      </w:r>
      <w:r w:rsidRPr="00DC20EE">
        <w:rPr>
          <w:sz w:val="22"/>
          <w:szCs w:val="22"/>
        </w:rPr>
        <w:t>.</w:t>
      </w:r>
    </w:p>
    <w:p w:rsidR="0004422A" w:rsidRPr="00DC20EE" w:rsidRDefault="0004422A" w:rsidP="0004422A">
      <w:pPr>
        <w:pStyle w:val="NoSpacing"/>
        <w:tabs>
          <w:tab w:val="left" w:pos="900"/>
        </w:tabs>
        <w:ind w:left="450"/>
        <w:jc w:val="both"/>
        <w:rPr>
          <w:bCs/>
          <w:sz w:val="22"/>
          <w:szCs w:val="22"/>
        </w:rPr>
      </w:pPr>
    </w:p>
    <w:p w:rsidR="0004422A" w:rsidRPr="00DC20EE" w:rsidRDefault="0004422A" w:rsidP="0004422A">
      <w:pPr>
        <w:pStyle w:val="NoSpacing"/>
        <w:numPr>
          <w:ilvl w:val="0"/>
          <w:numId w:val="1"/>
        </w:numPr>
        <w:tabs>
          <w:tab w:val="left" w:pos="900"/>
        </w:tabs>
        <w:ind w:left="0" w:firstLine="450"/>
        <w:jc w:val="both"/>
        <w:rPr>
          <w:bCs/>
          <w:sz w:val="22"/>
          <w:szCs w:val="22"/>
        </w:rPr>
      </w:pPr>
      <w:r w:rsidRPr="00DC20EE">
        <w:rPr>
          <w:bCs/>
          <w:sz w:val="22"/>
          <w:szCs w:val="22"/>
        </w:rPr>
        <w:t xml:space="preserve">See note 2, </w:t>
      </w:r>
      <w:r w:rsidRPr="00DC20EE">
        <w:rPr>
          <w:bCs/>
          <w:sz w:val="22"/>
          <w:szCs w:val="22"/>
          <w:u w:val="single"/>
        </w:rPr>
        <w:t>supra</w:t>
      </w:r>
      <w:r w:rsidRPr="00DC20EE">
        <w:rPr>
          <w:bCs/>
          <w:sz w:val="22"/>
          <w:szCs w:val="22"/>
        </w:rPr>
        <w:t>.</w:t>
      </w:r>
    </w:p>
    <w:p w:rsidR="00D56F1C" w:rsidRPr="00DC20EE" w:rsidRDefault="00D56F1C" w:rsidP="00D56F1C">
      <w:pPr>
        <w:pStyle w:val="NoSpacing"/>
        <w:tabs>
          <w:tab w:val="left" w:pos="900"/>
        </w:tabs>
        <w:ind w:left="720"/>
        <w:jc w:val="both"/>
        <w:rPr>
          <w:b/>
          <w:bCs/>
          <w:sz w:val="22"/>
          <w:szCs w:val="22"/>
        </w:rPr>
      </w:pPr>
    </w:p>
    <w:p w:rsidR="00913DDB" w:rsidRPr="00DC20EE" w:rsidRDefault="00913DDB" w:rsidP="00913DDB">
      <w:pPr>
        <w:pStyle w:val="NoSpacing"/>
        <w:jc w:val="both"/>
        <w:rPr>
          <w:sz w:val="22"/>
          <w:szCs w:val="22"/>
        </w:rPr>
      </w:pPr>
      <w:r w:rsidRPr="00DC20EE">
        <w:rPr>
          <w:b/>
          <w:bCs/>
          <w:sz w:val="22"/>
          <w:szCs w:val="22"/>
        </w:rPr>
        <w:t>COMMENT</w:t>
      </w:r>
    </w:p>
    <w:p w:rsidR="00913DDB" w:rsidRPr="00DC20EE" w:rsidRDefault="00913DDB" w:rsidP="00913DDB">
      <w:pPr>
        <w:pStyle w:val="NoSpacing"/>
        <w:jc w:val="both"/>
        <w:rPr>
          <w:sz w:val="22"/>
          <w:szCs w:val="22"/>
        </w:rPr>
      </w:pPr>
    </w:p>
    <w:p w:rsidR="00126B1A" w:rsidRPr="00DC20EE" w:rsidRDefault="00913DDB" w:rsidP="00126B1A">
      <w:pPr>
        <w:pStyle w:val="NoSpacing"/>
        <w:ind w:firstLine="450"/>
        <w:jc w:val="both"/>
        <w:rPr>
          <w:rFonts w:ascii="Times New Roman" w:eastAsiaTheme="minorHAnsi" w:hAnsi="Times New Roman" w:cs="Times New Roman"/>
          <w:sz w:val="22"/>
          <w:szCs w:val="22"/>
        </w:rPr>
      </w:pPr>
      <w:r w:rsidRPr="00DC20EE">
        <w:rPr>
          <w:sz w:val="22"/>
          <w:szCs w:val="22"/>
        </w:rPr>
        <w:t>This instruction was approved by the Committee in 1972 and revised in 1986, 1991, and 2011. The comment was updated in 1982, 1986, 1988, 1991, 2011, 2012, and 2017.</w:t>
      </w:r>
      <w:r w:rsidR="00126B1A" w:rsidRPr="00DC20EE">
        <w:rPr>
          <w:sz w:val="22"/>
          <w:szCs w:val="22"/>
        </w:rPr>
        <w:t xml:space="preserve"> </w:t>
      </w:r>
      <w:r w:rsidR="00126B1A" w:rsidRPr="00DC20EE">
        <w:rPr>
          <w:rFonts w:ascii="Times New Roman" w:eastAsiaTheme="minorHAnsi" w:hAnsi="Times New Roman" w:cs="Times New Roman"/>
          <w:sz w:val="22"/>
          <w:szCs w:val="22"/>
        </w:rPr>
        <w:t>This revision was appro</w:t>
      </w:r>
      <w:r w:rsidR="00B250C8" w:rsidRPr="00DC20EE">
        <w:rPr>
          <w:rFonts w:ascii="Times New Roman" w:eastAsiaTheme="minorHAnsi" w:hAnsi="Times New Roman" w:cs="Times New Roman"/>
          <w:sz w:val="22"/>
          <w:szCs w:val="22"/>
        </w:rPr>
        <w:t>ved by the Committee in January 2025</w:t>
      </w:r>
      <w:r w:rsidR="00126B1A" w:rsidRPr="00DC20EE">
        <w:rPr>
          <w:rFonts w:ascii="Times New Roman" w:eastAsiaTheme="minorHAnsi" w:hAnsi="Times New Roman" w:cs="Times New Roman"/>
          <w:sz w:val="22"/>
          <w:szCs w:val="22"/>
        </w:rPr>
        <w:t xml:space="preserve">. It </w:t>
      </w:r>
      <w:r w:rsidR="00F15F96" w:rsidRPr="00DC20EE">
        <w:rPr>
          <w:rFonts w:ascii="Times New Roman" w:eastAsiaTheme="minorHAnsi" w:hAnsi="Times New Roman" w:cs="Times New Roman"/>
          <w:sz w:val="22"/>
          <w:szCs w:val="22"/>
        </w:rPr>
        <w:t>provided for the omission</w:t>
      </w:r>
      <w:r w:rsidR="00126B1A" w:rsidRPr="00DC20EE">
        <w:rPr>
          <w:rFonts w:ascii="Times New Roman" w:eastAsiaTheme="minorHAnsi" w:hAnsi="Times New Roman" w:cs="Times New Roman"/>
          <w:sz w:val="22"/>
          <w:szCs w:val="22"/>
        </w:rPr>
        <w:t xml:space="preserve"> the use of the word “expert” in the text of the instr</w:t>
      </w:r>
      <w:r w:rsidR="00F15F96" w:rsidRPr="00DC20EE">
        <w:rPr>
          <w:rFonts w:ascii="Times New Roman" w:eastAsiaTheme="minorHAnsi" w:hAnsi="Times New Roman" w:cs="Times New Roman"/>
          <w:sz w:val="22"/>
          <w:szCs w:val="22"/>
        </w:rPr>
        <w:t xml:space="preserve">uction and added </w:t>
      </w:r>
      <w:r w:rsidR="00994A0D" w:rsidRPr="00DC20EE">
        <w:rPr>
          <w:rFonts w:ascii="Times New Roman" w:eastAsiaTheme="minorHAnsi" w:hAnsi="Times New Roman" w:cs="Times New Roman"/>
          <w:sz w:val="22"/>
          <w:szCs w:val="22"/>
        </w:rPr>
        <w:t>footnote 2 to address the risk of “judicial vouching.”</w:t>
      </w:r>
    </w:p>
    <w:p w:rsidR="00913DDB" w:rsidRPr="00DC20EE" w:rsidRDefault="00913DDB" w:rsidP="00913DDB">
      <w:pPr>
        <w:pStyle w:val="NoSpacing"/>
        <w:jc w:val="both"/>
        <w:rPr>
          <w:sz w:val="22"/>
          <w:szCs w:val="22"/>
        </w:rPr>
      </w:pPr>
    </w:p>
    <w:p w:rsidR="00913DDB" w:rsidRPr="00DC20EE" w:rsidRDefault="00913DDB" w:rsidP="00913DDB">
      <w:pPr>
        <w:pStyle w:val="NoSpacing"/>
        <w:ind w:firstLine="450"/>
        <w:jc w:val="both"/>
        <w:rPr>
          <w:sz w:val="22"/>
          <w:szCs w:val="22"/>
        </w:rPr>
      </w:pPr>
      <w:r w:rsidRPr="00DC20EE">
        <w:rPr>
          <w:sz w:val="22"/>
          <w:szCs w:val="22"/>
        </w:rPr>
        <w:t xml:space="preserve">Wis. Stat. §§ 907.02 and 907.03; </w:t>
      </w:r>
      <w:r w:rsidRPr="00DC20EE">
        <w:rPr>
          <w:sz w:val="22"/>
          <w:szCs w:val="22"/>
          <w:u w:val="single"/>
        </w:rPr>
        <w:t>Black v. General Elec. Co.</w:t>
      </w:r>
      <w:r w:rsidRPr="00DC20EE">
        <w:rPr>
          <w:sz w:val="22"/>
          <w:szCs w:val="22"/>
        </w:rPr>
        <w:t>, 89 Wis.2d 195, 212</w:t>
      </w:r>
      <w:r w:rsidRPr="00DC20EE">
        <w:rPr>
          <w:sz w:val="22"/>
          <w:szCs w:val="22"/>
        </w:rPr>
        <w:noBreakHyphen/>
        <w:t xml:space="preserve">13, 278 N.W.2d 224 (1979); </w:t>
      </w:r>
      <w:r w:rsidR="002C0A22" w:rsidRPr="00DC20EE">
        <w:rPr>
          <w:sz w:val="22"/>
          <w:szCs w:val="22"/>
          <w:u w:val="single"/>
        </w:rPr>
        <w:t>Milbauer v. Transport Employes’ Mut. Benefit Soc’</w:t>
      </w:r>
      <w:r w:rsidRPr="00DC20EE">
        <w:rPr>
          <w:sz w:val="22"/>
          <w:szCs w:val="22"/>
          <w:u w:val="single"/>
        </w:rPr>
        <w:t>y</w:t>
      </w:r>
      <w:r w:rsidRPr="00DC20EE">
        <w:rPr>
          <w:sz w:val="22"/>
          <w:szCs w:val="22"/>
        </w:rPr>
        <w:t xml:space="preserve">, 56 Wis.2d 860, 203 N.W.2d 135 (1973); </w:t>
      </w:r>
      <w:r w:rsidRPr="00DC20EE">
        <w:rPr>
          <w:sz w:val="22"/>
          <w:szCs w:val="22"/>
          <w:u w:val="single"/>
        </w:rPr>
        <w:t>Rabata v. Dohner</w:t>
      </w:r>
      <w:r w:rsidRPr="00DC20EE">
        <w:rPr>
          <w:sz w:val="22"/>
          <w:szCs w:val="22"/>
        </w:rPr>
        <w:t xml:space="preserve">, 45 Wis.2d 111, 172 N.W.2d 409 (1969); </w:t>
      </w:r>
      <w:r w:rsidRPr="00DC20EE">
        <w:rPr>
          <w:sz w:val="22"/>
          <w:szCs w:val="22"/>
          <w:u w:val="single"/>
        </w:rPr>
        <w:t>Andersen v. Andersen</w:t>
      </w:r>
      <w:r w:rsidRPr="00DC20EE">
        <w:rPr>
          <w:sz w:val="22"/>
          <w:szCs w:val="22"/>
        </w:rPr>
        <w:t xml:space="preserve">, 8 Wis.2d 278, 283, 99 N.W.2d 190, 193 (1959); </w:t>
      </w:r>
      <w:r w:rsidRPr="00DC20EE">
        <w:rPr>
          <w:sz w:val="22"/>
          <w:szCs w:val="22"/>
          <w:u w:val="single"/>
        </w:rPr>
        <w:t>Anderson v. Eggert</w:t>
      </w:r>
      <w:r w:rsidRPr="00DC20EE">
        <w:rPr>
          <w:sz w:val="22"/>
          <w:szCs w:val="22"/>
        </w:rPr>
        <w:t>, 234 Wis. 348, 361, 291 N.W. 365, 371 (1940).</w:t>
      </w:r>
    </w:p>
    <w:p w:rsidR="00913DDB" w:rsidRPr="00DC20EE" w:rsidRDefault="00913DDB" w:rsidP="00913DDB">
      <w:pPr>
        <w:pStyle w:val="NoSpacing"/>
        <w:jc w:val="both"/>
        <w:rPr>
          <w:sz w:val="22"/>
          <w:szCs w:val="22"/>
        </w:rPr>
      </w:pPr>
    </w:p>
    <w:p w:rsidR="00913DDB" w:rsidRPr="00DC20EE" w:rsidRDefault="00913DDB" w:rsidP="00913DDB">
      <w:pPr>
        <w:pStyle w:val="NoSpacing"/>
        <w:ind w:firstLine="450"/>
        <w:jc w:val="both"/>
        <w:rPr>
          <w:sz w:val="22"/>
          <w:szCs w:val="22"/>
        </w:rPr>
      </w:pPr>
      <w:r w:rsidRPr="00DC20EE">
        <w:rPr>
          <w:sz w:val="22"/>
          <w:szCs w:val="22"/>
        </w:rPr>
        <w:t xml:space="preserve">In Wisconsin, the general rule is that a nonexpert owner of property may testify concerning the </w:t>
      </w:r>
      <w:r w:rsidR="00B250C8" w:rsidRPr="00DC20EE">
        <w:rPr>
          <w:sz w:val="22"/>
          <w:szCs w:val="22"/>
        </w:rPr>
        <w:t>property’</w:t>
      </w:r>
      <w:r w:rsidRPr="00DC20EE">
        <w:rPr>
          <w:sz w:val="22"/>
          <w:szCs w:val="22"/>
        </w:rPr>
        <w:t xml:space="preserve">s value. </w:t>
      </w:r>
      <w:r w:rsidRPr="00DC20EE">
        <w:rPr>
          <w:sz w:val="22"/>
          <w:szCs w:val="22"/>
          <w:u w:val="single"/>
        </w:rPr>
        <w:t>Perpignani v. Vonasek</w:t>
      </w:r>
      <w:r w:rsidRPr="00DC20EE">
        <w:rPr>
          <w:sz w:val="22"/>
          <w:szCs w:val="22"/>
        </w:rPr>
        <w:t>, 139 Wis.2d 695, 408 N.W.2d 1 (1987).</w:t>
      </w:r>
    </w:p>
    <w:p w:rsidR="00913DDB" w:rsidRPr="00DC20EE" w:rsidRDefault="00913DDB" w:rsidP="00913DDB">
      <w:pPr>
        <w:pStyle w:val="NoSpacing"/>
        <w:jc w:val="both"/>
        <w:rPr>
          <w:sz w:val="22"/>
          <w:szCs w:val="22"/>
        </w:rPr>
      </w:pPr>
    </w:p>
    <w:p w:rsidR="00913DDB" w:rsidRPr="00DC20EE" w:rsidRDefault="00913DDB" w:rsidP="00913DDB">
      <w:pPr>
        <w:pStyle w:val="NoSpacing"/>
        <w:ind w:firstLine="450"/>
        <w:jc w:val="both"/>
        <w:rPr>
          <w:sz w:val="22"/>
          <w:szCs w:val="22"/>
        </w:rPr>
      </w:pPr>
      <w:r w:rsidRPr="00DC20EE">
        <w:rPr>
          <w:sz w:val="22"/>
          <w:szCs w:val="22"/>
        </w:rPr>
        <w:t>For Expert Testimony: Hypothetical, see Wis JI</w:t>
      </w:r>
      <w:r w:rsidRPr="00DC20EE">
        <w:rPr>
          <w:sz w:val="22"/>
          <w:szCs w:val="22"/>
        </w:rPr>
        <w:noBreakHyphen/>
        <w:t>Civil 265.</w:t>
      </w:r>
    </w:p>
    <w:p w:rsidR="00913DDB" w:rsidRPr="00DC20EE" w:rsidRDefault="00913DDB" w:rsidP="00913DDB">
      <w:pPr>
        <w:pStyle w:val="NoSpacing"/>
        <w:jc w:val="both"/>
        <w:rPr>
          <w:sz w:val="22"/>
          <w:szCs w:val="22"/>
        </w:rPr>
      </w:pPr>
    </w:p>
    <w:p w:rsidR="00913DDB" w:rsidRPr="00DC20EE" w:rsidRDefault="00913DDB" w:rsidP="00913DDB">
      <w:pPr>
        <w:pStyle w:val="NoSpacing"/>
        <w:ind w:firstLine="450"/>
        <w:jc w:val="both"/>
        <w:rPr>
          <w:sz w:val="22"/>
          <w:szCs w:val="22"/>
        </w:rPr>
      </w:pPr>
      <w:r w:rsidRPr="00DC20EE">
        <w:rPr>
          <w:sz w:val="22"/>
          <w:szCs w:val="22"/>
        </w:rPr>
        <w:t xml:space="preserve">For expert testimony in a medical malpractice trial, see Wis JI-Civil 1023; </w:t>
      </w:r>
      <w:r w:rsidRPr="00DC20EE">
        <w:rPr>
          <w:sz w:val="22"/>
          <w:szCs w:val="22"/>
          <w:u w:val="single"/>
        </w:rPr>
        <w:t>Weborg v. Jenny</w:t>
      </w:r>
      <w:r w:rsidRPr="00DC20EE">
        <w:rPr>
          <w:sz w:val="22"/>
          <w:szCs w:val="22"/>
        </w:rPr>
        <w:t xml:space="preserve">, 2012 WI 67 (Paragraph 73), 341 Wis.2d 668, 816 N.W.2d 191 and </w:t>
      </w:r>
      <w:r w:rsidRPr="00DC20EE">
        <w:rPr>
          <w:sz w:val="22"/>
          <w:szCs w:val="22"/>
          <w:u w:val="single"/>
        </w:rPr>
        <w:t>Seifert v. Balink</w:t>
      </w:r>
      <w:r w:rsidRPr="00DC20EE">
        <w:rPr>
          <w:sz w:val="22"/>
          <w:szCs w:val="22"/>
        </w:rPr>
        <w:t>, 2017 WI 2, 372 Wis.2d 525, 888 N.W.2d 816.</w:t>
      </w:r>
    </w:p>
    <w:sectPr w:rsidR="00913DDB" w:rsidRPr="00DC20EE" w:rsidSect="00C47A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DB" w:rsidRDefault="00913DDB" w:rsidP="00913DDB">
      <w:r>
        <w:separator/>
      </w:r>
    </w:p>
  </w:endnote>
  <w:endnote w:type="continuationSeparator" w:id="0">
    <w:p w:rsidR="00913DDB" w:rsidRDefault="00913DDB" w:rsidP="0091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B" w:rsidRDefault="00913DDB" w:rsidP="00913DDB">
    <w:pPr>
      <w:pStyle w:val="Footer"/>
      <w:jc w:val="both"/>
      <w:rPr>
        <w:rFonts w:ascii="Arial" w:hAnsi="Arial" w:cs="Arial"/>
        <w:sz w:val="20"/>
        <w:szCs w:val="20"/>
      </w:rPr>
    </w:pPr>
  </w:p>
  <w:p w:rsidR="00913DDB" w:rsidRPr="00913DDB" w:rsidRDefault="00913DDB" w:rsidP="00913DDB">
    <w:pPr>
      <w:pStyle w:val="Footer"/>
      <w:jc w:val="both"/>
      <w:rPr>
        <w:rFonts w:ascii="Arial" w:hAnsi="Arial" w:cs="Arial"/>
        <w:sz w:val="20"/>
        <w:szCs w:val="20"/>
      </w:rPr>
    </w:pPr>
    <w:r w:rsidRPr="00913DDB">
      <w:rPr>
        <w:rFonts w:ascii="Arial" w:hAnsi="Arial" w:cs="Arial"/>
        <w:sz w:val="20"/>
        <w:szCs w:val="20"/>
      </w:rPr>
      <w:t>Wisconsin Court System,</w:t>
    </w:r>
    <w:r w:rsidR="00262895">
      <w:rPr>
        <w:rFonts w:ascii="Arial" w:hAnsi="Arial" w:cs="Arial"/>
        <w:sz w:val="20"/>
        <w:szCs w:val="20"/>
      </w:rPr>
      <w:t xml:space="preserve"> 2</w:t>
    </w:r>
    <w:r w:rsidR="00DC20EE">
      <w:rPr>
        <w:rFonts w:ascii="Arial" w:hAnsi="Arial" w:cs="Arial"/>
        <w:sz w:val="20"/>
        <w:szCs w:val="20"/>
      </w:rPr>
      <w:t>/2025</w:t>
    </w:r>
    <w:r w:rsidR="00DC20EE">
      <w:rPr>
        <w:rFonts w:ascii="Arial" w:hAnsi="Arial" w:cs="Arial"/>
        <w:sz w:val="20"/>
        <w:szCs w:val="20"/>
      </w:rPr>
      <w:tab/>
    </w:r>
    <w:r w:rsidR="00DC20EE">
      <w:rPr>
        <w:rFonts w:ascii="Arial" w:hAnsi="Arial" w:cs="Arial"/>
        <w:sz w:val="20"/>
        <w:szCs w:val="20"/>
      </w:rPr>
      <w:tab/>
      <w:t>(Release No. 58</w:t>
    </w:r>
    <w:r w:rsidRPr="00913DDB">
      <w:rPr>
        <w:rFonts w:ascii="Arial" w:hAnsi="Arial" w:cs="Arial"/>
        <w:sz w:val="20"/>
        <w:szCs w:val="20"/>
      </w:rPr>
      <w:t>)</w:t>
    </w:r>
  </w:p>
  <w:p w:rsidR="00913DDB" w:rsidRDefault="00262895">
    <w:pPr>
      <w:pStyle w:val="Footer"/>
      <w:jc w:val="center"/>
    </w:pPr>
    <w:sdt>
      <w:sdtPr>
        <w:rPr>
          <w:rFonts w:ascii="Arial" w:hAnsi="Arial" w:cs="Arial"/>
          <w:sz w:val="20"/>
          <w:szCs w:val="20"/>
        </w:rPr>
        <w:id w:val="-1980679706"/>
        <w:docPartObj>
          <w:docPartGallery w:val="Page Numbers (Bottom of Page)"/>
          <w:docPartUnique/>
        </w:docPartObj>
      </w:sdtPr>
      <w:sdtEndPr>
        <w:rPr>
          <w:noProof/>
        </w:rPr>
      </w:sdtEndPr>
      <w:sdtContent>
        <w:r w:rsidR="00913DDB" w:rsidRPr="00913DDB">
          <w:rPr>
            <w:rFonts w:ascii="Arial" w:hAnsi="Arial" w:cs="Arial"/>
            <w:sz w:val="20"/>
            <w:szCs w:val="20"/>
          </w:rPr>
          <w:fldChar w:fldCharType="begin"/>
        </w:r>
        <w:r w:rsidR="00913DDB" w:rsidRPr="00913DDB">
          <w:rPr>
            <w:rFonts w:ascii="Arial" w:hAnsi="Arial" w:cs="Arial"/>
            <w:sz w:val="20"/>
            <w:szCs w:val="20"/>
          </w:rPr>
          <w:instrText xml:space="preserve"> PAGE   \* MERGEFORMAT </w:instrText>
        </w:r>
        <w:r w:rsidR="00913DDB" w:rsidRPr="00913DDB">
          <w:rPr>
            <w:rFonts w:ascii="Arial" w:hAnsi="Arial" w:cs="Arial"/>
            <w:sz w:val="20"/>
            <w:szCs w:val="20"/>
          </w:rPr>
          <w:fldChar w:fldCharType="separate"/>
        </w:r>
        <w:r>
          <w:rPr>
            <w:rFonts w:ascii="Arial" w:hAnsi="Arial" w:cs="Arial"/>
            <w:noProof/>
            <w:sz w:val="20"/>
            <w:szCs w:val="20"/>
          </w:rPr>
          <w:t>1</w:t>
        </w:r>
        <w:r w:rsidR="00913DDB" w:rsidRPr="00913DDB">
          <w:rPr>
            <w:rFonts w:ascii="Arial" w:hAnsi="Arial" w:cs="Arial"/>
            <w:noProof/>
            <w:sz w:val="20"/>
            <w:szCs w:val="20"/>
          </w:rPr>
          <w:fldChar w:fldCharType="end"/>
        </w:r>
      </w:sdtContent>
    </w:sdt>
  </w:p>
  <w:p w:rsidR="00913DDB" w:rsidRDefault="0091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DB" w:rsidRDefault="00913DDB" w:rsidP="00913DDB">
      <w:r>
        <w:separator/>
      </w:r>
    </w:p>
  </w:footnote>
  <w:footnote w:type="continuationSeparator" w:id="0">
    <w:p w:rsidR="00913DDB" w:rsidRDefault="00913DDB" w:rsidP="0091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B" w:rsidRDefault="00913DDB" w:rsidP="00913DDB">
    <w:pPr>
      <w:tabs>
        <w:tab w:val="center" w:pos="4680"/>
        <w:tab w:val="right" w:pos="9360"/>
      </w:tabs>
      <w:jc w:val="both"/>
      <w:rPr>
        <w:rFonts w:ascii="Arial" w:hAnsi="Arial" w:cs="Arial"/>
        <w:b/>
        <w:bCs/>
        <w:sz w:val="28"/>
        <w:szCs w:val="28"/>
      </w:rPr>
    </w:pPr>
  </w:p>
  <w:p w:rsidR="00913DDB" w:rsidRDefault="00913DDB" w:rsidP="00913DDB">
    <w:pPr>
      <w:tabs>
        <w:tab w:val="center" w:pos="4680"/>
        <w:tab w:val="right" w:pos="9360"/>
      </w:tabs>
      <w:jc w:val="both"/>
      <w:rPr>
        <w:rFonts w:ascii="Arial" w:hAnsi="Arial" w:cs="Arial"/>
        <w:b/>
        <w:bCs/>
        <w:sz w:val="28"/>
        <w:szCs w:val="28"/>
      </w:rPr>
    </w:pPr>
    <w:r w:rsidRPr="00913DDB">
      <w:rPr>
        <w:rFonts w:ascii="Arial" w:hAnsi="Arial" w:cs="Arial"/>
        <w:b/>
        <w:bCs/>
        <w:sz w:val="28"/>
        <w:szCs w:val="28"/>
      </w:rPr>
      <w:t>260</w:t>
    </w:r>
    <w:r w:rsidRPr="00913DDB">
      <w:rPr>
        <w:rFonts w:ascii="Arial" w:hAnsi="Arial" w:cs="Arial"/>
        <w:b/>
        <w:bCs/>
        <w:sz w:val="28"/>
        <w:szCs w:val="28"/>
      </w:rPr>
      <w:tab/>
      <w:t>WIS JI-CIVIL</w:t>
    </w:r>
    <w:r w:rsidRPr="00913DDB">
      <w:rPr>
        <w:rFonts w:ascii="Arial" w:hAnsi="Arial" w:cs="Arial"/>
        <w:b/>
        <w:bCs/>
        <w:sz w:val="28"/>
        <w:szCs w:val="28"/>
      </w:rPr>
      <w:tab/>
      <w:t>260</w:t>
    </w:r>
  </w:p>
  <w:p w:rsidR="00913DDB" w:rsidRDefault="00913DDB" w:rsidP="00913DDB">
    <w:pPr>
      <w:tabs>
        <w:tab w:val="center" w:pos="4680"/>
        <w:tab w:val="right" w:pos="9360"/>
      </w:tabs>
      <w:jc w:val="both"/>
      <w:rPr>
        <w:rFonts w:ascii="Arial" w:hAnsi="Arial" w:cs="Arial"/>
        <w:b/>
        <w:bCs/>
        <w:sz w:val="28"/>
        <w:szCs w:val="28"/>
      </w:rPr>
    </w:pPr>
  </w:p>
  <w:p w:rsidR="00913DDB" w:rsidRPr="00913DDB" w:rsidRDefault="00913DDB" w:rsidP="00913DDB">
    <w:pPr>
      <w:tabs>
        <w:tab w:val="center" w:pos="4680"/>
        <w:tab w:val="right" w:pos="9360"/>
      </w:tabs>
      <w:jc w:val="both"/>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E6F45"/>
    <w:multiLevelType w:val="hybridMultilevel"/>
    <w:tmpl w:val="35182052"/>
    <w:lvl w:ilvl="0" w:tplc="72BE6B5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DB"/>
    <w:rsid w:val="0004422A"/>
    <w:rsid w:val="00086EFF"/>
    <w:rsid w:val="000965DE"/>
    <w:rsid w:val="00126B1A"/>
    <w:rsid w:val="00262895"/>
    <w:rsid w:val="00290098"/>
    <w:rsid w:val="002B7D44"/>
    <w:rsid w:val="002C0A22"/>
    <w:rsid w:val="002E32DE"/>
    <w:rsid w:val="0030097A"/>
    <w:rsid w:val="00454373"/>
    <w:rsid w:val="00474739"/>
    <w:rsid w:val="005250F3"/>
    <w:rsid w:val="005A6F3D"/>
    <w:rsid w:val="00764253"/>
    <w:rsid w:val="00862D38"/>
    <w:rsid w:val="0086371A"/>
    <w:rsid w:val="008D2FEC"/>
    <w:rsid w:val="00913DDB"/>
    <w:rsid w:val="00994A0D"/>
    <w:rsid w:val="00A70E0C"/>
    <w:rsid w:val="00A712DF"/>
    <w:rsid w:val="00B20222"/>
    <w:rsid w:val="00B250C8"/>
    <w:rsid w:val="00B51887"/>
    <w:rsid w:val="00B82A61"/>
    <w:rsid w:val="00BA433E"/>
    <w:rsid w:val="00C47A9B"/>
    <w:rsid w:val="00D56F1C"/>
    <w:rsid w:val="00D94C31"/>
    <w:rsid w:val="00DC20EE"/>
    <w:rsid w:val="00DD09BC"/>
    <w:rsid w:val="00DE5A60"/>
    <w:rsid w:val="00F15F96"/>
    <w:rsid w:val="00FB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964D"/>
  <w15:chartTrackingRefBased/>
  <w15:docId w15:val="{192804E8-A44B-4E39-A375-EFE40F76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DDB"/>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D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13DDB"/>
  </w:style>
  <w:style w:type="paragraph" w:styleId="Footer">
    <w:name w:val="footer"/>
    <w:basedOn w:val="Normal"/>
    <w:link w:val="FooterChar"/>
    <w:uiPriority w:val="99"/>
    <w:unhideWhenUsed/>
    <w:rsid w:val="00913DD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13DDB"/>
  </w:style>
  <w:style w:type="character" w:styleId="LineNumber">
    <w:name w:val="line number"/>
    <w:basedOn w:val="DefaultParagraphFont"/>
    <w:uiPriority w:val="99"/>
    <w:semiHidden/>
    <w:unhideWhenUsed/>
    <w:rsid w:val="00913DDB"/>
  </w:style>
  <w:style w:type="paragraph" w:styleId="NoSpacing">
    <w:name w:val="No Spacing"/>
    <w:uiPriority w:val="1"/>
    <w:qFormat/>
    <w:rsid w:val="00913DDB"/>
    <w:pPr>
      <w:widowControl w:val="0"/>
      <w:autoSpaceDE w:val="0"/>
      <w:autoSpaceDN w:val="0"/>
      <w:adjustRightInd w:val="0"/>
      <w:spacing w:after="0" w:line="240" w:lineRule="auto"/>
    </w:pPr>
    <w:rPr>
      <w:rFonts w:ascii="Times" w:eastAsia="Times New Roman" w:hAnsi="Times" w:cs="Times"/>
      <w:sz w:val="24"/>
      <w:szCs w:val="24"/>
    </w:rPr>
  </w:style>
  <w:style w:type="paragraph" w:styleId="ListParagraph">
    <w:name w:val="List Paragraph"/>
    <w:basedOn w:val="Normal"/>
    <w:uiPriority w:val="34"/>
    <w:qFormat/>
    <w:rsid w:val="00BA4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cp:lastPrinted>2025-01-13T19:48:00Z</cp:lastPrinted>
  <dcterms:created xsi:type="dcterms:W3CDTF">2025-01-22T16:41:00Z</dcterms:created>
  <dcterms:modified xsi:type="dcterms:W3CDTF">2025-03-04T19:26:00Z</dcterms:modified>
</cp:coreProperties>
</file>