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1FF589" w14:textId="77777777" w:rsidR="00336205" w:rsidRPr="00336205" w:rsidRDefault="00336205" w:rsidP="00336205">
      <w:pPr>
        <w:pStyle w:val="NoSpacing"/>
        <w:tabs>
          <w:tab w:val="left" w:pos="720"/>
        </w:tabs>
        <w:jc w:val="both"/>
        <w:rPr>
          <w:rFonts w:ascii="Times New Roman" w:hAnsi="Times New Roman" w:cs="Times New Roman"/>
          <w:b/>
          <w:bCs/>
          <w:sz w:val="26"/>
          <w:szCs w:val="26"/>
        </w:rPr>
      </w:pPr>
      <w:r w:rsidRPr="00336205">
        <w:rPr>
          <w:rFonts w:ascii="Times New Roman" w:hAnsi="Times New Roman" w:cs="Times New Roman"/>
          <w:b/>
          <w:bCs/>
          <w:sz w:val="26"/>
          <w:szCs w:val="26"/>
        </w:rPr>
        <w:t>1006</w:t>
      </w:r>
      <w:r w:rsidRPr="00336205">
        <w:rPr>
          <w:rFonts w:ascii="Times New Roman" w:hAnsi="Times New Roman" w:cs="Times New Roman"/>
          <w:b/>
          <w:bCs/>
          <w:sz w:val="26"/>
          <w:szCs w:val="26"/>
        </w:rPr>
        <w:tab/>
        <w:t>GROSS NEGLIGENCE: DEFINED</w:t>
      </w:r>
    </w:p>
    <w:p w14:paraId="271B6109" w14:textId="77777777" w:rsidR="00336205" w:rsidRPr="00336205" w:rsidRDefault="00336205" w:rsidP="00336205">
      <w:pPr>
        <w:pStyle w:val="NoSpacing"/>
        <w:jc w:val="both"/>
        <w:rPr>
          <w:rFonts w:ascii="Times New Roman" w:hAnsi="Times New Roman" w:cs="Times New Roman"/>
          <w:sz w:val="26"/>
          <w:szCs w:val="26"/>
        </w:rPr>
      </w:pPr>
    </w:p>
    <w:p w14:paraId="60666F0F" w14:textId="77777777" w:rsidR="00336205" w:rsidRPr="00336205" w:rsidRDefault="00336205" w:rsidP="00336205">
      <w:pPr>
        <w:pStyle w:val="NoSpacing"/>
        <w:jc w:val="both"/>
        <w:rPr>
          <w:rFonts w:ascii="Times New Roman" w:hAnsi="Times New Roman" w:cs="Times New Roman"/>
          <w:sz w:val="26"/>
          <w:szCs w:val="26"/>
        </w:rPr>
      </w:pPr>
    </w:p>
    <w:p w14:paraId="54BF75A7" w14:textId="3A18C6B2" w:rsidR="00336205" w:rsidRPr="002B3EA2" w:rsidRDefault="00336205" w:rsidP="00336205">
      <w:pPr>
        <w:pStyle w:val="NoSpacing"/>
        <w:spacing w:line="480" w:lineRule="auto"/>
        <w:ind w:firstLine="450"/>
        <w:jc w:val="both"/>
        <w:rPr>
          <w:rFonts w:ascii="Times New Roman" w:hAnsi="Times New Roman" w:cs="Times New Roman"/>
          <w:sz w:val="26"/>
          <w:szCs w:val="26"/>
        </w:rPr>
      </w:pPr>
      <w:r w:rsidRPr="002B3EA2">
        <w:rPr>
          <w:rFonts w:ascii="Times New Roman" w:hAnsi="Times New Roman" w:cs="Times New Roman"/>
          <w:sz w:val="26"/>
          <w:szCs w:val="26"/>
        </w:rPr>
        <w:t xml:space="preserve">Gross negligence is conduct which shows either a willful intent to injure or reckless and wanton disregard of the rights, safety, or property of another person. </w:t>
      </w:r>
    </w:p>
    <w:p w14:paraId="50117463" w14:textId="6704B4A9" w:rsidR="00336205" w:rsidRPr="002B3EA2" w:rsidRDefault="00336205" w:rsidP="00336205">
      <w:pPr>
        <w:pStyle w:val="NoSpacing"/>
        <w:spacing w:line="480" w:lineRule="auto"/>
        <w:ind w:firstLine="450"/>
        <w:jc w:val="both"/>
        <w:rPr>
          <w:rFonts w:ascii="Times New Roman" w:hAnsi="Times New Roman" w:cs="Times New Roman"/>
          <w:sz w:val="26"/>
          <w:szCs w:val="26"/>
        </w:rPr>
      </w:pPr>
      <w:r w:rsidRPr="002B3EA2">
        <w:rPr>
          <w:rFonts w:ascii="Times New Roman" w:hAnsi="Times New Roman" w:cs="Times New Roman"/>
          <w:sz w:val="26"/>
          <w:szCs w:val="26"/>
        </w:rPr>
        <w:t>You may consider the defendant</w:t>
      </w:r>
      <w:r w:rsidR="00E432B5" w:rsidRPr="002B3EA2">
        <w:rPr>
          <w:rFonts w:ascii="Times New Roman" w:hAnsi="Times New Roman" w:cs="Times New Roman"/>
          <w:sz w:val="26"/>
          <w:szCs w:val="26"/>
        </w:rPr>
        <w:t>’</w:t>
      </w:r>
      <w:r w:rsidRPr="002B3EA2">
        <w:rPr>
          <w:rFonts w:ascii="Times New Roman" w:hAnsi="Times New Roman" w:cs="Times New Roman"/>
          <w:sz w:val="26"/>
          <w:szCs w:val="26"/>
        </w:rPr>
        <w:t>s conduct in any of its aspects to determine whether it was wanton or reckless conduct (whether it showed willful intent to injure).</w:t>
      </w:r>
    </w:p>
    <w:p w14:paraId="48AAE94F" w14:textId="77777777" w:rsidR="00336205" w:rsidRPr="002B3EA2" w:rsidRDefault="00336205" w:rsidP="00336205">
      <w:pPr>
        <w:pStyle w:val="NoSpacing"/>
        <w:spacing w:line="480" w:lineRule="auto"/>
        <w:ind w:firstLine="450"/>
        <w:jc w:val="both"/>
        <w:rPr>
          <w:rFonts w:ascii="Times New Roman" w:hAnsi="Times New Roman" w:cs="Times New Roman"/>
          <w:sz w:val="26"/>
          <w:szCs w:val="26"/>
        </w:rPr>
      </w:pPr>
      <w:r w:rsidRPr="002B3EA2">
        <w:rPr>
          <w:rFonts w:ascii="Times New Roman" w:hAnsi="Times New Roman" w:cs="Times New Roman"/>
          <w:sz w:val="26"/>
          <w:szCs w:val="26"/>
        </w:rPr>
        <w:t>[Wis JI Civil 205 Burden of Proof: Middle.]</w:t>
      </w:r>
    </w:p>
    <w:p w14:paraId="5FC55264" w14:textId="77777777" w:rsidR="00336205" w:rsidRPr="002B3EA2" w:rsidRDefault="00336205" w:rsidP="00336205">
      <w:pPr>
        <w:pStyle w:val="NoSpacing"/>
        <w:jc w:val="both"/>
        <w:rPr>
          <w:rFonts w:ascii="Times New Roman" w:hAnsi="Times New Roman" w:cs="Times New Roman"/>
          <w:sz w:val="26"/>
          <w:szCs w:val="26"/>
        </w:rPr>
      </w:pPr>
    </w:p>
    <w:p w14:paraId="6BA49BC1" w14:textId="77777777" w:rsidR="00336205" w:rsidRPr="002B3EA2" w:rsidRDefault="00336205" w:rsidP="00336205">
      <w:pPr>
        <w:pStyle w:val="NoSpacing"/>
        <w:jc w:val="both"/>
        <w:rPr>
          <w:rFonts w:ascii="Times New Roman" w:hAnsi="Times New Roman" w:cs="Times New Roman"/>
          <w:sz w:val="26"/>
          <w:szCs w:val="26"/>
        </w:rPr>
      </w:pPr>
    </w:p>
    <w:p w14:paraId="16FFB7B1" w14:textId="77777777" w:rsidR="00336205" w:rsidRPr="002B3EA2" w:rsidRDefault="00336205" w:rsidP="00336205">
      <w:pPr>
        <w:pStyle w:val="NoSpacing"/>
        <w:jc w:val="both"/>
        <w:rPr>
          <w:rFonts w:ascii="Times New Roman" w:hAnsi="Times New Roman" w:cs="Times New Roman"/>
          <w:sz w:val="26"/>
          <w:szCs w:val="26"/>
        </w:rPr>
      </w:pPr>
    </w:p>
    <w:p w14:paraId="2FF6A63D" w14:textId="5500B3D4" w:rsidR="00336205" w:rsidRPr="002B3EA2" w:rsidRDefault="00336205" w:rsidP="00336205">
      <w:pPr>
        <w:pStyle w:val="NoSpacing"/>
        <w:jc w:val="both"/>
        <w:rPr>
          <w:rFonts w:ascii="Times New Roman" w:hAnsi="Times New Roman" w:cs="Times New Roman"/>
          <w:b/>
          <w:bCs/>
        </w:rPr>
      </w:pPr>
      <w:r w:rsidRPr="002B3EA2">
        <w:rPr>
          <w:rFonts w:ascii="Times New Roman" w:hAnsi="Times New Roman" w:cs="Times New Roman"/>
          <w:b/>
          <w:bCs/>
        </w:rPr>
        <w:t>COMMENT</w:t>
      </w:r>
    </w:p>
    <w:p w14:paraId="245438D2" w14:textId="77777777" w:rsidR="00336205" w:rsidRPr="002B3EA2" w:rsidRDefault="00336205" w:rsidP="00336205">
      <w:pPr>
        <w:pStyle w:val="NoSpacing"/>
        <w:jc w:val="both"/>
        <w:rPr>
          <w:rFonts w:ascii="Times New Roman" w:hAnsi="Times New Roman" w:cs="Times New Roman"/>
        </w:rPr>
      </w:pPr>
    </w:p>
    <w:p w14:paraId="4E148EC7" w14:textId="0087DECF" w:rsidR="00336205" w:rsidRPr="002B3EA2" w:rsidRDefault="00336205" w:rsidP="00177BE2">
      <w:pPr>
        <w:pStyle w:val="NoSpacing"/>
        <w:ind w:firstLine="450"/>
        <w:jc w:val="both"/>
        <w:rPr>
          <w:rFonts w:ascii="Times New Roman" w:hAnsi="Times New Roman" w:cs="Times New Roman"/>
        </w:rPr>
      </w:pPr>
      <w:r w:rsidRPr="002B3EA2">
        <w:rPr>
          <w:rFonts w:ascii="Times New Roman" w:hAnsi="Times New Roman" w:cs="Times New Roman"/>
        </w:rPr>
        <w:t>This instruction and comment were approved in 1978. The instruction was revised in</w:t>
      </w:r>
      <w:r w:rsidR="00177BE2" w:rsidRPr="002B3EA2">
        <w:rPr>
          <w:rFonts w:ascii="Times New Roman" w:hAnsi="Times New Roman" w:cs="Times New Roman"/>
        </w:rPr>
        <w:t xml:space="preserve"> 2002, 2015, and 2016. The </w:t>
      </w:r>
      <w:r w:rsidRPr="002B3EA2">
        <w:rPr>
          <w:rFonts w:ascii="Times New Roman" w:hAnsi="Times New Roman" w:cs="Times New Roman"/>
        </w:rPr>
        <w:t xml:space="preserve">2002 </w:t>
      </w:r>
      <w:r w:rsidR="00177BE2" w:rsidRPr="002B3EA2">
        <w:rPr>
          <w:rFonts w:ascii="Times New Roman" w:hAnsi="Times New Roman" w:cs="Times New Roman"/>
        </w:rPr>
        <w:t xml:space="preserve">revision </w:t>
      </w:r>
      <w:r w:rsidRPr="002B3EA2">
        <w:rPr>
          <w:rFonts w:ascii="Times New Roman" w:hAnsi="Times New Roman" w:cs="Times New Roman"/>
        </w:rPr>
        <w:t>correct</w:t>
      </w:r>
      <w:r w:rsidR="00177BE2" w:rsidRPr="002B3EA2">
        <w:rPr>
          <w:rFonts w:ascii="Times New Roman" w:hAnsi="Times New Roman" w:cs="Times New Roman"/>
        </w:rPr>
        <w:t>ed</w:t>
      </w:r>
      <w:r w:rsidRPr="002B3EA2">
        <w:rPr>
          <w:rFonts w:ascii="Times New Roman" w:hAnsi="Times New Roman" w:cs="Times New Roman"/>
        </w:rPr>
        <w:t xml:space="preserve"> the reference to the burden of proof and update</w:t>
      </w:r>
      <w:r w:rsidR="00177BE2" w:rsidRPr="002B3EA2">
        <w:rPr>
          <w:rFonts w:ascii="Times New Roman" w:hAnsi="Times New Roman" w:cs="Times New Roman"/>
        </w:rPr>
        <w:t>d</w:t>
      </w:r>
      <w:r w:rsidRPr="002B3EA2">
        <w:rPr>
          <w:rFonts w:ascii="Times New Roman" w:hAnsi="Times New Roman" w:cs="Times New Roman"/>
        </w:rPr>
        <w:t xml:space="preserve"> the comment. The</w:t>
      </w:r>
      <w:r w:rsidR="002B3EA2" w:rsidRPr="002B3EA2">
        <w:rPr>
          <w:rFonts w:ascii="Times New Roman" w:hAnsi="Times New Roman" w:cs="Times New Roman"/>
        </w:rPr>
        <w:t xml:space="preserve"> </w:t>
      </w:r>
      <w:r w:rsidRPr="002B3EA2">
        <w:rPr>
          <w:rFonts w:ascii="Times New Roman" w:hAnsi="Times New Roman" w:cs="Times New Roman"/>
        </w:rPr>
        <w:t>2015</w:t>
      </w:r>
      <w:r w:rsidR="00177BE2" w:rsidRPr="002B3EA2">
        <w:rPr>
          <w:rFonts w:ascii="Times New Roman" w:hAnsi="Times New Roman" w:cs="Times New Roman"/>
        </w:rPr>
        <w:t xml:space="preserve"> revision </w:t>
      </w:r>
      <w:r w:rsidRPr="002B3EA2">
        <w:rPr>
          <w:rFonts w:ascii="Times New Roman" w:hAnsi="Times New Roman" w:cs="Times New Roman"/>
        </w:rPr>
        <w:t>replace</w:t>
      </w:r>
      <w:r w:rsidR="00177BE2" w:rsidRPr="002B3EA2">
        <w:rPr>
          <w:rFonts w:ascii="Times New Roman" w:hAnsi="Times New Roman" w:cs="Times New Roman"/>
        </w:rPr>
        <w:t>d</w:t>
      </w:r>
      <w:r w:rsidRPr="002B3EA2">
        <w:rPr>
          <w:rFonts w:ascii="Times New Roman" w:hAnsi="Times New Roman" w:cs="Times New Roman"/>
        </w:rPr>
        <w:t xml:space="preserve"> the terms “guilty of” and “guilt.”</w:t>
      </w:r>
      <w:r w:rsidR="00177BE2" w:rsidRPr="002B3EA2">
        <w:rPr>
          <w:rFonts w:ascii="Times New Roman" w:hAnsi="Times New Roman" w:cs="Times New Roman"/>
        </w:rPr>
        <w:t xml:space="preserve"> This revision was approved by the Committee in</w:t>
      </w:r>
      <w:r w:rsidR="002B3EA2" w:rsidRPr="002B3EA2">
        <w:rPr>
          <w:rFonts w:ascii="Times New Roman" w:hAnsi="Times New Roman" w:cs="Times New Roman"/>
        </w:rPr>
        <w:t xml:space="preserve"> May 2026</w:t>
      </w:r>
      <w:r w:rsidR="00EF2B32" w:rsidRPr="002B3EA2">
        <w:rPr>
          <w:rFonts w:ascii="Times New Roman" w:hAnsi="Times New Roman" w:cs="Times New Roman"/>
        </w:rPr>
        <w:t>. It updated the comment to expand the statutory citation list and add analytical notes regarding the definition’s status under current Wisconsin law.</w:t>
      </w:r>
    </w:p>
    <w:p w14:paraId="05B654DE" w14:textId="77777777" w:rsidR="00336205" w:rsidRPr="002B3EA2" w:rsidRDefault="00336205" w:rsidP="00336205">
      <w:pPr>
        <w:pStyle w:val="NoSpacing"/>
        <w:jc w:val="both"/>
        <w:rPr>
          <w:rFonts w:ascii="Times New Roman" w:hAnsi="Times New Roman" w:cs="Times New Roman"/>
        </w:rPr>
      </w:pPr>
    </w:p>
    <w:p w14:paraId="0AFAE6C8" w14:textId="3276151E" w:rsidR="00D73998" w:rsidRPr="002B3EA2" w:rsidRDefault="00336205" w:rsidP="002B3EA2">
      <w:pPr>
        <w:pStyle w:val="NoSpacing"/>
        <w:ind w:firstLine="450"/>
        <w:jc w:val="both"/>
        <w:rPr>
          <w:rFonts w:ascii="Times New Roman" w:hAnsi="Times New Roman" w:cs="Times New Roman"/>
        </w:rPr>
      </w:pPr>
      <w:r w:rsidRPr="002B3EA2">
        <w:rPr>
          <w:rFonts w:ascii="Times New Roman" w:hAnsi="Times New Roman" w:cs="Times New Roman"/>
        </w:rPr>
        <w:t xml:space="preserve">Gross negligence is no longer a part of Wisconsin common law. </w:t>
      </w:r>
      <w:r w:rsidRPr="002B3EA2">
        <w:rPr>
          <w:rFonts w:ascii="Times New Roman" w:hAnsi="Times New Roman" w:cs="Times New Roman"/>
          <w:u w:val="single"/>
        </w:rPr>
        <w:t>Bielski v. Schulze</w:t>
      </w:r>
      <w:r w:rsidRPr="002B3EA2">
        <w:rPr>
          <w:rFonts w:ascii="Times New Roman" w:hAnsi="Times New Roman" w:cs="Times New Roman"/>
        </w:rPr>
        <w:t>, 16 Wis.</w:t>
      </w:r>
      <w:r w:rsidR="00BF2C7D">
        <w:rPr>
          <w:rFonts w:ascii="Times New Roman" w:hAnsi="Times New Roman" w:cs="Times New Roman"/>
        </w:rPr>
        <w:t xml:space="preserve"> </w:t>
      </w:r>
      <w:r w:rsidRPr="002B3EA2">
        <w:rPr>
          <w:rFonts w:ascii="Times New Roman" w:hAnsi="Times New Roman" w:cs="Times New Roman"/>
        </w:rPr>
        <w:t xml:space="preserve">2d 1, 114 N.W.2d 105 (1962). It remains a part of Wisconsin statutory law. Wis JI Civil 1006 is retained for whatever use may be made of it in the trial of cases in which foreign law on gross negligence is to be applied. See </w:t>
      </w:r>
      <w:proofErr w:type="spellStart"/>
      <w:r w:rsidRPr="002B3EA2">
        <w:rPr>
          <w:rFonts w:ascii="Times New Roman" w:hAnsi="Times New Roman" w:cs="Times New Roman"/>
          <w:u w:val="single"/>
        </w:rPr>
        <w:t>Brunke</w:t>
      </w:r>
      <w:proofErr w:type="spellEnd"/>
      <w:r w:rsidRPr="002B3EA2">
        <w:rPr>
          <w:rFonts w:ascii="Times New Roman" w:hAnsi="Times New Roman" w:cs="Times New Roman"/>
          <w:u w:val="single"/>
        </w:rPr>
        <w:t xml:space="preserve"> v. Popp</w:t>
      </w:r>
      <w:r w:rsidRPr="002B3EA2">
        <w:rPr>
          <w:rFonts w:ascii="Times New Roman" w:hAnsi="Times New Roman" w:cs="Times New Roman"/>
        </w:rPr>
        <w:t>, 21 Wis.</w:t>
      </w:r>
      <w:r w:rsidR="00BF2C7D">
        <w:rPr>
          <w:rFonts w:ascii="Times New Roman" w:hAnsi="Times New Roman" w:cs="Times New Roman"/>
        </w:rPr>
        <w:t xml:space="preserve"> </w:t>
      </w:r>
      <w:r w:rsidRPr="002B3EA2">
        <w:rPr>
          <w:rFonts w:ascii="Times New Roman" w:hAnsi="Times New Roman" w:cs="Times New Roman"/>
        </w:rPr>
        <w:t xml:space="preserve">2d 458, 124 N.W.2d 642 (1963), and </w:t>
      </w:r>
      <w:proofErr w:type="spellStart"/>
      <w:r w:rsidRPr="002B3EA2">
        <w:rPr>
          <w:rFonts w:ascii="Times New Roman" w:hAnsi="Times New Roman" w:cs="Times New Roman"/>
          <w:u w:val="single"/>
        </w:rPr>
        <w:t>Parchia</w:t>
      </w:r>
      <w:proofErr w:type="spellEnd"/>
      <w:r w:rsidRPr="002B3EA2">
        <w:rPr>
          <w:rFonts w:ascii="Times New Roman" w:hAnsi="Times New Roman" w:cs="Times New Roman"/>
          <w:u w:val="single"/>
        </w:rPr>
        <w:t xml:space="preserve"> v. </w:t>
      </w:r>
      <w:proofErr w:type="spellStart"/>
      <w:r w:rsidRPr="002B3EA2">
        <w:rPr>
          <w:rFonts w:ascii="Times New Roman" w:hAnsi="Times New Roman" w:cs="Times New Roman"/>
          <w:u w:val="single"/>
        </w:rPr>
        <w:t>Parchia</w:t>
      </w:r>
      <w:proofErr w:type="spellEnd"/>
      <w:r w:rsidRPr="002B3EA2">
        <w:rPr>
          <w:rFonts w:ascii="Times New Roman" w:hAnsi="Times New Roman" w:cs="Times New Roman"/>
        </w:rPr>
        <w:t>, 24 Wis.</w:t>
      </w:r>
      <w:r w:rsidR="00BF2C7D">
        <w:rPr>
          <w:rFonts w:ascii="Times New Roman" w:hAnsi="Times New Roman" w:cs="Times New Roman"/>
        </w:rPr>
        <w:t xml:space="preserve"> </w:t>
      </w:r>
      <w:r w:rsidRPr="002B3EA2">
        <w:rPr>
          <w:rFonts w:ascii="Times New Roman" w:hAnsi="Times New Roman" w:cs="Times New Roman"/>
        </w:rPr>
        <w:t>2d 659, 130 N.W.2d 205 (1964).</w:t>
      </w:r>
    </w:p>
    <w:p w14:paraId="76653353" w14:textId="77777777" w:rsidR="00A620C2" w:rsidRPr="002B3EA2" w:rsidRDefault="00A620C2" w:rsidP="00336205">
      <w:pPr>
        <w:pStyle w:val="NoSpacing"/>
        <w:jc w:val="both"/>
        <w:rPr>
          <w:rFonts w:ascii="Times New Roman" w:hAnsi="Times New Roman" w:cs="Times New Roman"/>
        </w:rPr>
      </w:pPr>
    </w:p>
    <w:p w14:paraId="6C4B40AE" w14:textId="057660AE" w:rsidR="00A4379A" w:rsidRPr="002B3EA2" w:rsidRDefault="00336205" w:rsidP="000F7B34">
      <w:pPr>
        <w:pStyle w:val="NoSpacing"/>
        <w:ind w:firstLine="450"/>
        <w:jc w:val="both"/>
        <w:rPr>
          <w:rFonts w:ascii="Times New Roman" w:hAnsi="Times New Roman" w:cs="Times New Roman"/>
        </w:rPr>
      </w:pPr>
      <w:r w:rsidRPr="002B3EA2">
        <w:rPr>
          <w:rFonts w:ascii="Times New Roman" w:hAnsi="Times New Roman" w:cs="Times New Roman"/>
        </w:rPr>
        <w:t xml:space="preserve">In addition, the Wisconsin Legislature has brought the concept of gross negligence back into Wisconsin law over </w:t>
      </w:r>
      <w:r w:rsidR="00357657" w:rsidRPr="002B3EA2">
        <w:rPr>
          <w:rFonts w:ascii="Times New Roman" w:hAnsi="Times New Roman" w:cs="Times New Roman"/>
        </w:rPr>
        <w:t>time.</w:t>
      </w:r>
      <w:r w:rsidRPr="002B3EA2">
        <w:rPr>
          <w:rFonts w:ascii="Times New Roman" w:hAnsi="Times New Roman" w:cs="Times New Roman"/>
        </w:rPr>
        <w:t xml:space="preserve"> </w:t>
      </w:r>
      <w:r w:rsidR="00341607">
        <w:rPr>
          <w:rFonts w:ascii="Times New Roman" w:hAnsi="Times New Roman" w:cs="Times New Roman"/>
        </w:rPr>
        <w:t>E</w:t>
      </w:r>
      <w:r w:rsidRPr="002B3EA2">
        <w:rPr>
          <w:rFonts w:ascii="Times New Roman" w:hAnsi="Times New Roman" w:cs="Times New Roman"/>
        </w:rPr>
        <w:t>xamples</w:t>
      </w:r>
      <w:r w:rsidR="00341607">
        <w:rPr>
          <w:rFonts w:ascii="Times New Roman" w:hAnsi="Times New Roman" w:cs="Times New Roman"/>
        </w:rPr>
        <w:t xml:space="preserve"> include</w:t>
      </w:r>
      <w:r w:rsidR="00A4379A" w:rsidRPr="002B3EA2">
        <w:rPr>
          <w:rFonts w:ascii="Times New Roman" w:hAnsi="Times New Roman" w:cs="Times New Roman"/>
        </w:rPr>
        <w:t>:</w:t>
      </w:r>
      <w:r w:rsidRPr="002B3EA2">
        <w:rPr>
          <w:rFonts w:ascii="Times New Roman" w:hAnsi="Times New Roman" w:cs="Times New Roman"/>
        </w:rPr>
        <w:t xml:space="preserve"> </w:t>
      </w:r>
    </w:p>
    <w:p w14:paraId="0A6E9209" w14:textId="77777777" w:rsidR="00A4379A" w:rsidRPr="002B3EA2" w:rsidRDefault="00A4379A" w:rsidP="00A4379A">
      <w:pPr>
        <w:pStyle w:val="NoSpacing"/>
        <w:jc w:val="both"/>
        <w:rPr>
          <w:rFonts w:ascii="Times New Roman" w:hAnsi="Times New Roman" w:cs="Times New Roman"/>
        </w:rPr>
      </w:pPr>
    </w:p>
    <w:p w14:paraId="686C78DD" w14:textId="77777777" w:rsidR="00A4379A" w:rsidRPr="002B3EA2" w:rsidRDefault="00A4379A" w:rsidP="00A4379A">
      <w:pPr>
        <w:pStyle w:val="NoSpacing"/>
        <w:numPr>
          <w:ilvl w:val="0"/>
          <w:numId w:val="1"/>
        </w:numPr>
        <w:jc w:val="both"/>
        <w:rPr>
          <w:rFonts w:ascii="Times New Roman" w:hAnsi="Times New Roman" w:cs="Times New Roman"/>
        </w:rPr>
      </w:pPr>
      <w:r w:rsidRPr="002B3EA2">
        <w:rPr>
          <w:rFonts w:ascii="Times New Roman" w:hAnsi="Times New Roman" w:cs="Times New Roman"/>
        </w:rPr>
        <w:t xml:space="preserve">Wis. Stat. § 895.48(4)(b)1. (AED Good Samaritan immunity); </w:t>
      </w:r>
    </w:p>
    <w:p w14:paraId="664D5E42" w14:textId="77777777" w:rsidR="00A4379A" w:rsidRPr="002B3EA2" w:rsidRDefault="00A4379A" w:rsidP="00A4379A">
      <w:pPr>
        <w:pStyle w:val="NoSpacing"/>
        <w:numPr>
          <w:ilvl w:val="0"/>
          <w:numId w:val="1"/>
        </w:numPr>
        <w:jc w:val="both"/>
        <w:rPr>
          <w:rFonts w:ascii="Times New Roman" w:hAnsi="Times New Roman" w:cs="Times New Roman"/>
        </w:rPr>
      </w:pPr>
      <w:r w:rsidRPr="002B3EA2">
        <w:rPr>
          <w:rFonts w:ascii="Times New Roman" w:hAnsi="Times New Roman" w:cs="Times New Roman"/>
        </w:rPr>
        <w:t xml:space="preserve">Wis. Stat. § 895.4802(3)(c) (civil liability for discharge of hazardous materials); </w:t>
      </w:r>
    </w:p>
    <w:p w14:paraId="2AD291B9" w14:textId="77777777" w:rsidR="00A4379A" w:rsidRPr="002B3EA2" w:rsidRDefault="00A4379A" w:rsidP="00A4379A">
      <w:pPr>
        <w:pStyle w:val="NoSpacing"/>
        <w:numPr>
          <w:ilvl w:val="0"/>
          <w:numId w:val="1"/>
        </w:numPr>
        <w:jc w:val="both"/>
        <w:rPr>
          <w:rFonts w:ascii="Times New Roman" w:hAnsi="Times New Roman" w:cs="Times New Roman"/>
        </w:rPr>
      </w:pPr>
      <w:r w:rsidRPr="002B3EA2">
        <w:rPr>
          <w:rFonts w:ascii="Times New Roman" w:hAnsi="Times New Roman" w:cs="Times New Roman"/>
        </w:rPr>
        <w:t xml:space="preserve">Wis. Stat. § 895.55(3)(b) (oil-discharge cleanup immunity); </w:t>
      </w:r>
    </w:p>
    <w:p w14:paraId="5F50143C" w14:textId="77777777" w:rsidR="00A4379A" w:rsidRPr="002B3EA2" w:rsidRDefault="00A4379A" w:rsidP="00A4379A">
      <w:pPr>
        <w:pStyle w:val="NoSpacing"/>
        <w:numPr>
          <w:ilvl w:val="0"/>
          <w:numId w:val="1"/>
        </w:numPr>
        <w:jc w:val="both"/>
        <w:rPr>
          <w:rFonts w:ascii="Times New Roman" w:hAnsi="Times New Roman" w:cs="Times New Roman"/>
        </w:rPr>
      </w:pPr>
      <w:r w:rsidRPr="002B3EA2">
        <w:rPr>
          <w:rFonts w:ascii="Times New Roman" w:hAnsi="Times New Roman" w:cs="Times New Roman"/>
        </w:rPr>
        <w:t xml:space="preserve">Wis. Stat. § 895.56(3)(b) (petroleum-contaminated-soil immunity); </w:t>
      </w:r>
    </w:p>
    <w:p w14:paraId="6FEB1EB0" w14:textId="77777777" w:rsidR="00A4379A" w:rsidRPr="002B3EA2" w:rsidRDefault="00A4379A" w:rsidP="00A4379A">
      <w:pPr>
        <w:pStyle w:val="NoSpacing"/>
        <w:numPr>
          <w:ilvl w:val="0"/>
          <w:numId w:val="1"/>
        </w:numPr>
        <w:jc w:val="both"/>
        <w:rPr>
          <w:rFonts w:ascii="Times New Roman" w:hAnsi="Times New Roman" w:cs="Times New Roman"/>
        </w:rPr>
      </w:pPr>
      <w:r w:rsidRPr="002B3EA2">
        <w:rPr>
          <w:rFonts w:ascii="Times New Roman" w:hAnsi="Times New Roman" w:cs="Times New Roman"/>
        </w:rPr>
        <w:t xml:space="preserve">Wis. Stat. § 895.478(3m) (school opioid-antagonist immunity, created by 2023 Wis. Act 194); </w:t>
      </w:r>
    </w:p>
    <w:p w14:paraId="65E8A67E" w14:textId="77777777" w:rsidR="00A4379A" w:rsidRPr="002B3EA2" w:rsidRDefault="00A4379A" w:rsidP="00A4379A">
      <w:pPr>
        <w:pStyle w:val="NoSpacing"/>
        <w:numPr>
          <w:ilvl w:val="0"/>
          <w:numId w:val="1"/>
        </w:numPr>
        <w:jc w:val="both"/>
        <w:rPr>
          <w:rFonts w:ascii="Times New Roman" w:hAnsi="Times New Roman" w:cs="Times New Roman"/>
        </w:rPr>
      </w:pPr>
      <w:r w:rsidRPr="002B3EA2">
        <w:rPr>
          <w:rFonts w:ascii="Times New Roman" w:hAnsi="Times New Roman" w:cs="Times New Roman"/>
        </w:rPr>
        <w:t xml:space="preserve">Wis. Stat. § 118.2915(6)(a) (school short-acting bronchodilator immunity); </w:t>
      </w:r>
    </w:p>
    <w:p w14:paraId="2AEAA64D" w14:textId="77777777" w:rsidR="00A4379A" w:rsidRPr="002B3EA2" w:rsidRDefault="00A4379A" w:rsidP="00A4379A">
      <w:pPr>
        <w:pStyle w:val="NoSpacing"/>
        <w:numPr>
          <w:ilvl w:val="0"/>
          <w:numId w:val="1"/>
        </w:numPr>
        <w:jc w:val="both"/>
        <w:rPr>
          <w:rFonts w:ascii="Times New Roman" w:hAnsi="Times New Roman" w:cs="Times New Roman"/>
        </w:rPr>
      </w:pPr>
      <w:r w:rsidRPr="002B3EA2">
        <w:rPr>
          <w:rFonts w:ascii="Times New Roman" w:hAnsi="Times New Roman" w:cs="Times New Roman"/>
        </w:rPr>
        <w:t xml:space="preserve">Wis. Stat. § 118.2925(5) (school epinephrine delivery system immunity, amended by 2025 Wis. Act 17); </w:t>
      </w:r>
    </w:p>
    <w:p w14:paraId="6E3AD34C" w14:textId="66C7AE2B" w:rsidR="00A4379A" w:rsidRPr="002B3EA2" w:rsidRDefault="00A4379A" w:rsidP="00A4379A">
      <w:pPr>
        <w:pStyle w:val="NoSpacing"/>
        <w:numPr>
          <w:ilvl w:val="0"/>
          <w:numId w:val="1"/>
        </w:numPr>
        <w:jc w:val="both"/>
        <w:rPr>
          <w:rFonts w:ascii="Times New Roman" w:hAnsi="Times New Roman" w:cs="Times New Roman"/>
        </w:rPr>
      </w:pPr>
      <w:r w:rsidRPr="002B3EA2">
        <w:rPr>
          <w:rFonts w:ascii="Times New Roman" w:hAnsi="Times New Roman" w:cs="Times New Roman"/>
        </w:rPr>
        <w:t>Wis. Stat. § 118.293(5)</w:t>
      </w:r>
      <w:r w:rsidR="003A5D10" w:rsidRPr="002B3EA2">
        <w:rPr>
          <w:rFonts w:ascii="Times New Roman" w:hAnsi="Times New Roman" w:cs="Times New Roman"/>
        </w:rPr>
        <w:t>(a)</w:t>
      </w:r>
      <w:r w:rsidRPr="002B3EA2">
        <w:rPr>
          <w:rFonts w:ascii="Times New Roman" w:hAnsi="Times New Roman" w:cs="Times New Roman"/>
        </w:rPr>
        <w:t xml:space="preserve"> (civil liability for school officials regarding an athlete who has a concussion); </w:t>
      </w:r>
    </w:p>
    <w:p w14:paraId="7FFB4868" w14:textId="77777777" w:rsidR="00A4379A" w:rsidRPr="002B3EA2" w:rsidRDefault="00A4379A" w:rsidP="00A4379A">
      <w:pPr>
        <w:pStyle w:val="NoSpacing"/>
        <w:numPr>
          <w:ilvl w:val="0"/>
          <w:numId w:val="1"/>
        </w:numPr>
        <w:jc w:val="both"/>
        <w:rPr>
          <w:rFonts w:ascii="Times New Roman" w:hAnsi="Times New Roman" w:cs="Times New Roman"/>
        </w:rPr>
      </w:pPr>
      <w:r w:rsidRPr="002B3EA2">
        <w:rPr>
          <w:rFonts w:ascii="Times New Roman" w:hAnsi="Times New Roman" w:cs="Times New Roman"/>
        </w:rPr>
        <w:t xml:space="preserve">Wis. Stat. § 118.294(4)(a) (school undesignated-glucagon immunity); </w:t>
      </w:r>
    </w:p>
    <w:p w14:paraId="18A162B6" w14:textId="77777777" w:rsidR="00A4379A" w:rsidRPr="002B3EA2" w:rsidRDefault="00A4379A" w:rsidP="00A4379A">
      <w:pPr>
        <w:pStyle w:val="NoSpacing"/>
        <w:numPr>
          <w:ilvl w:val="0"/>
          <w:numId w:val="1"/>
        </w:numPr>
        <w:jc w:val="both"/>
        <w:rPr>
          <w:rFonts w:ascii="Times New Roman" w:hAnsi="Times New Roman" w:cs="Times New Roman"/>
        </w:rPr>
      </w:pPr>
      <w:r w:rsidRPr="002B3EA2">
        <w:rPr>
          <w:rFonts w:ascii="Times New Roman" w:hAnsi="Times New Roman" w:cs="Times New Roman"/>
        </w:rPr>
        <w:lastRenderedPageBreak/>
        <w:t xml:space="preserve">Wis. Stat. § 255.07(6)(a) (community epinephrine delivery system immunity); and </w:t>
      </w:r>
    </w:p>
    <w:p w14:paraId="552DA407" w14:textId="2023CDF8" w:rsidR="00A4379A" w:rsidRPr="002B3EA2" w:rsidRDefault="00A4379A" w:rsidP="00A4379A">
      <w:pPr>
        <w:pStyle w:val="NoSpacing"/>
        <w:numPr>
          <w:ilvl w:val="0"/>
          <w:numId w:val="1"/>
        </w:numPr>
        <w:jc w:val="both"/>
        <w:rPr>
          <w:rFonts w:ascii="Times New Roman" w:hAnsi="Times New Roman" w:cs="Times New Roman"/>
        </w:rPr>
      </w:pPr>
      <w:r w:rsidRPr="002B3EA2">
        <w:rPr>
          <w:rFonts w:ascii="Times New Roman" w:hAnsi="Times New Roman" w:cs="Times New Roman"/>
        </w:rPr>
        <w:t>Wis. Stat. § 256.35(7) (civil liability for public safety answering points or dispatchers regarding 911 dispatch and 988 crisis hotline call transfers, including § 256.35(7)(c) created by 2025 Wis. Act 41).</w:t>
      </w:r>
    </w:p>
    <w:p w14:paraId="6FD49CA6" w14:textId="77777777" w:rsidR="00A4379A" w:rsidRDefault="00A4379A" w:rsidP="000F7B34">
      <w:pPr>
        <w:pStyle w:val="NoSpacing"/>
        <w:ind w:firstLine="450"/>
        <w:jc w:val="both"/>
        <w:rPr>
          <w:rFonts w:ascii="Times New Roman" w:hAnsi="Times New Roman" w:cs="Times New Roman"/>
        </w:rPr>
      </w:pPr>
    </w:p>
    <w:p w14:paraId="28F368F5" w14:textId="6E668CC9" w:rsidR="00336205" w:rsidRPr="002B3EA2" w:rsidRDefault="00336205" w:rsidP="000F7B34">
      <w:pPr>
        <w:pStyle w:val="NoSpacing"/>
        <w:ind w:firstLine="450"/>
        <w:jc w:val="both"/>
        <w:rPr>
          <w:rFonts w:ascii="Times New Roman" w:hAnsi="Times New Roman" w:cs="Times New Roman"/>
        </w:rPr>
      </w:pPr>
      <w:r w:rsidRPr="002B3EA2">
        <w:rPr>
          <w:rFonts w:ascii="Times New Roman" w:hAnsi="Times New Roman" w:cs="Times New Roman"/>
        </w:rPr>
        <w:t xml:space="preserve">While none of those statutes define “gross negligence,” </w:t>
      </w:r>
      <w:r w:rsidR="00357657" w:rsidRPr="002B3EA2">
        <w:rPr>
          <w:rFonts w:ascii="Times New Roman" w:hAnsi="Times New Roman" w:cs="Times New Roman"/>
        </w:rPr>
        <w:t>the Committee assume</w:t>
      </w:r>
      <w:r w:rsidR="006A1ADE">
        <w:rPr>
          <w:rFonts w:ascii="Times New Roman" w:hAnsi="Times New Roman" w:cs="Times New Roman"/>
        </w:rPr>
        <w:t>s</w:t>
      </w:r>
      <w:r w:rsidR="00357657" w:rsidRPr="002B3EA2">
        <w:rPr>
          <w:rFonts w:ascii="Times New Roman" w:hAnsi="Times New Roman" w:cs="Times New Roman"/>
        </w:rPr>
        <w:t xml:space="preserve"> that </w:t>
      </w:r>
      <w:r w:rsidRPr="002B3EA2">
        <w:rPr>
          <w:rFonts w:ascii="Times New Roman" w:hAnsi="Times New Roman" w:cs="Times New Roman"/>
        </w:rPr>
        <w:t xml:space="preserve">the Legislature </w:t>
      </w:r>
      <w:r w:rsidR="00357657" w:rsidRPr="002B3EA2">
        <w:rPr>
          <w:rFonts w:ascii="Times New Roman" w:hAnsi="Times New Roman" w:cs="Times New Roman"/>
        </w:rPr>
        <w:t xml:space="preserve">may have </w:t>
      </w:r>
      <w:r w:rsidRPr="002B3EA2">
        <w:rPr>
          <w:rFonts w:ascii="Times New Roman" w:hAnsi="Times New Roman" w:cs="Times New Roman"/>
        </w:rPr>
        <w:t>intended the term to have the meaning previously stated in case law.</w:t>
      </w:r>
    </w:p>
    <w:p w14:paraId="19379AF4" w14:textId="77777777" w:rsidR="00631AA4" w:rsidRPr="002B3EA2" w:rsidRDefault="00631AA4" w:rsidP="00631AA4">
      <w:pPr>
        <w:pStyle w:val="NoSpacing"/>
        <w:jc w:val="both"/>
        <w:rPr>
          <w:rFonts w:ascii="Times New Roman" w:hAnsi="Times New Roman" w:cs="Times New Roman"/>
        </w:rPr>
      </w:pPr>
    </w:p>
    <w:p w14:paraId="05403705" w14:textId="77777777" w:rsidR="00631AA4" w:rsidRPr="002B3EA2" w:rsidRDefault="00631AA4" w:rsidP="00631AA4">
      <w:pPr>
        <w:pStyle w:val="NoSpacing"/>
        <w:ind w:firstLine="450"/>
        <w:jc w:val="both"/>
        <w:rPr>
          <w:rFonts w:ascii="Times New Roman" w:hAnsi="Times New Roman" w:cs="Times New Roman"/>
        </w:rPr>
      </w:pPr>
      <w:r w:rsidRPr="002B3EA2">
        <w:rPr>
          <w:rFonts w:ascii="Times New Roman" w:hAnsi="Times New Roman" w:cs="Times New Roman"/>
        </w:rPr>
        <w:t xml:space="preserve">This working assumption is supported by the Wisconsin Supreme Court’s reasoning in </w:t>
      </w:r>
      <w:r w:rsidRPr="002B3EA2">
        <w:rPr>
          <w:rFonts w:ascii="Times New Roman" w:hAnsi="Times New Roman" w:cs="Times New Roman"/>
          <w:u w:val="single"/>
        </w:rPr>
        <w:t>Heritage Farms, Inc. v. Markel Insurance Co.</w:t>
      </w:r>
      <w:r w:rsidRPr="002B3EA2">
        <w:rPr>
          <w:rFonts w:ascii="Times New Roman" w:hAnsi="Times New Roman" w:cs="Times New Roman"/>
        </w:rPr>
        <w:t xml:space="preserve">, 2009 WI 27, ¶¶ 39–40, 316 Wis. 2d 47, 762 N.W.2d 652. There, the court presumed that the Legislature was aware that </w:t>
      </w:r>
      <w:r w:rsidRPr="002B3EA2">
        <w:rPr>
          <w:rFonts w:ascii="Times New Roman" w:hAnsi="Times New Roman" w:cs="Times New Roman"/>
          <w:u w:val="single"/>
        </w:rPr>
        <w:t>Bielski v. Schulze</w:t>
      </w:r>
      <w:r w:rsidRPr="002B3EA2">
        <w:rPr>
          <w:rFonts w:ascii="Times New Roman" w:hAnsi="Times New Roman" w:cs="Times New Roman"/>
        </w:rPr>
        <w:t>, 16 Wis. 2d 1, 114 N.W.2d 105 (1962), had abolished common-law gross negligence. That reasoning supports the inference that, when the Legislature uses the phrase “gross negligence” in the civil-immunity carve-outs described above, it does so deliberately.</w:t>
      </w:r>
    </w:p>
    <w:p w14:paraId="0B8B6D06" w14:textId="77777777" w:rsidR="00631AA4" w:rsidRPr="002B3EA2" w:rsidRDefault="00631AA4" w:rsidP="00631AA4">
      <w:pPr>
        <w:pStyle w:val="NoSpacing"/>
        <w:ind w:firstLine="450"/>
        <w:jc w:val="both"/>
        <w:rPr>
          <w:rFonts w:ascii="Times New Roman" w:hAnsi="Times New Roman" w:cs="Times New Roman"/>
        </w:rPr>
      </w:pPr>
    </w:p>
    <w:p w14:paraId="6C72D489" w14:textId="7EE2271D" w:rsidR="00631AA4" w:rsidRPr="002B3EA2" w:rsidRDefault="00631AA4" w:rsidP="00631AA4">
      <w:pPr>
        <w:pStyle w:val="NoSpacing"/>
        <w:ind w:firstLine="450"/>
        <w:jc w:val="both"/>
        <w:rPr>
          <w:rFonts w:ascii="Times New Roman" w:hAnsi="Times New Roman" w:cs="Times New Roman"/>
        </w:rPr>
      </w:pPr>
      <w:r w:rsidRPr="002B3EA2">
        <w:rPr>
          <w:rFonts w:ascii="Times New Roman" w:hAnsi="Times New Roman" w:cs="Times New Roman"/>
        </w:rPr>
        <w:t xml:space="preserve">No Wisconsin appellate decision, however, has directly construed “gross negligence” as that phrase appears in any of the modern civil-immunity statutes listed above. The assumption is therefore reasonable, but it has not been judicially endorsed in the tort-immunity context. The only Wisconsin appellate decision applying “gross negligence” as used in a still-existing Wisconsin civil statute is </w:t>
      </w:r>
      <w:r w:rsidRPr="002B3EA2">
        <w:rPr>
          <w:rFonts w:ascii="Times New Roman" w:hAnsi="Times New Roman" w:cs="Times New Roman"/>
          <w:u w:val="single"/>
        </w:rPr>
        <w:t>Vivian v. Examining Board of Architects</w:t>
      </w:r>
      <w:r w:rsidRPr="002B3EA2">
        <w:rPr>
          <w:rFonts w:ascii="Times New Roman" w:hAnsi="Times New Roman" w:cs="Times New Roman"/>
        </w:rPr>
        <w:t xml:space="preserve">, 61 Wis. 2d 627, 213 N.W.2d 359 (1974), which arose under Wis. Stat. § 443.11(1)(d). </w:t>
      </w:r>
      <w:r w:rsidRPr="002B3EA2">
        <w:rPr>
          <w:rFonts w:ascii="Times New Roman" w:hAnsi="Times New Roman" w:cs="Times New Roman"/>
          <w:u w:val="single"/>
        </w:rPr>
        <w:t>Vivian</w:t>
      </w:r>
      <w:r w:rsidRPr="002B3EA2">
        <w:rPr>
          <w:rFonts w:ascii="Times New Roman" w:hAnsi="Times New Roman" w:cs="Times New Roman"/>
        </w:rPr>
        <w:t xml:space="preserve"> was a professional-licensing case, not a tort-immunity case, and it does not provide a definition that controls in the immunity context.</w:t>
      </w:r>
    </w:p>
    <w:p w14:paraId="1D0E4CB5" w14:textId="77777777" w:rsidR="00336205" w:rsidRPr="00A4379A" w:rsidRDefault="00336205" w:rsidP="00336205">
      <w:pPr>
        <w:pStyle w:val="NoSpacing"/>
        <w:jc w:val="both"/>
        <w:rPr>
          <w:rFonts w:ascii="Times New Roman" w:hAnsi="Times New Roman" w:cs="Times New Roman"/>
          <w:color w:val="C00000"/>
        </w:rPr>
      </w:pPr>
    </w:p>
    <w:p w14:paraId="56061209" w14:textId="209DABE0" w:rsidR="00EC5238" w:rsidRDefault="00336205" w:rsidP="00336205">
      <w:pPr>
        <w:pStyle w:val="NoSpacing"/>
        <w:ind w:firstLine="450"/>
        <w:jc w:val="both"/>
        <w:rPr>
          <w:rFonts w:ascii="Times New Roman" w:hAnsi="Times New Roman" w:cs="Times New Roman"/>
        </w:rPr>
      </w:pPr>
      <w:r w:rsidRPr="00336205">
        <w:rPr>
          <w:rFonts w:ascii="Times New Roman" w:hAnsi="Times New Roman" w:cs="Times New Roman"/>
        </w:rPr>
        <w:t xml:space="preserve">This instruction may also be of use in cases arising under Wisconsin statutes which impose civil liability for conduct which is akin to or the equivalent of gross negligence. See, for example, uses of the phrase </w:t>
      </w:r>
      <w:r>
        <w:rPr>
          <w:rFonts w:ascii="Times New Roman" w:hAnsi="Times New Roman" w:cs="Times New Roman"/>
        </w:rPr>
        <w:t>“</w:t>
      </w:r>
      <w:r w:rsidRPr="00336205">
        <w:rPr>
          <w:rFonts w:ascii="Times New Roman" w:hAnsi="Times New Roman" w:cs="Times New Roman"/>
        </w:rPr>
        <w:t>willful or wanton,</w:t>
      </w:r>
      <w:r>
        <w:rPr>
          <w:rFonts w:ascii="Times New Roman" w:hAnsi="Times New Roman" w:cs="Times New Roman"/>
        </w:rPr>
        <w:t>”</w:t>
      </w:r>
      <w:r w:rsidRPr="00336205">
        <w:rPr>
          <w:rFonts w:ascii="Times New Roman" w:hAnsi="Times New Roman" w:cs="Times New Roman"/>
        </w:rPr>
        <w:t xml:space="preserve"> and similar phrases, in Chapter 895 of the Wisconsin Statutes.</w:t>
      </w:r>
    </w:p>
    <w:p w14:paraId="086E6C67" w14:textId="1D45D4CE" w:rsidR="00631AA4" w:rsidRDefault="00631AA4" w:rsidP="00631AA4">
      <w:pPr>
        <w:pStyle w:val="NoSpacing"/>
        <w:jc w:val="both"/>
        <w:rPr>
          <w:rFonts w:ascii="Times New Roman" w:hAnsi="Times New Roman" w:cs="Times New Roman"/>
          <w:color w:val="C00000"/>
        </w:rPr>
      </w:pPr>
    </w:p>
    <w:p w14:paraId="402F8D0C" w14:textId="77777777" w:rsidR="00631AA4" w:rsidRPr="002B3EA2" w:rsidRDefault="00631AA4" w:rsidP="00631AA4">
      <w:pPr>
        <w:pStyle w:val="NoSpacing"/>
        <w:ind w:firstLine="450"/>
        <w:jc w:val="both"/>
        <w:rPr>
          <w:rFonts w:ascii="Times New Roman" w:hAnsi="Times New Roman" w:cs="Times New Roman"/>
        </w:rPr>
      </w:pPr>
      <w:r w:rsidRPr="002B3EA2">
        <w:rPr>
          <w:rFonts w:ascii="Times New Roman" w:hAnsi="Times New Roman" w:cs="Times New Roman"/>
        </w:rPr>
        <w:t>Many of the modern civil-immunity statutes listed above pair “gross negligence” with “willful or wanton misconduct” in a disjunctive carve-out, such as “unless the injury results from gross negligence or willful or wanton misconduct.” Wisconsin courts have not yet resolved whether those phrases, as used in modern immunity statutes, are synonymous or establish distinct liability thresholds.</w:t>
      </w:r>
    </w:p>
    <w:p w14:paraId="7B42E8F0" w14:textId="77777777" w:rsidR="00631AA4" w:rsidRPr="002B3EA2" w:rsidRDefault="00631AA4" w:rsidP="00631AA4">
      <w:pPr>
        <w:pStyle w:val="NoSpacing"/>
        <w:ind w:firstLine="450"/>
        <w:jc w:val="both"/>
        <w:rPr>
          <w:rFonts w:ascii="Times New Roman" w:hAnsi="Times New Roman" w:cs="Times New Roman"/>
        </w:rPr>
      </w:pPr>
    </w:p>
    <w:p w14:paraId="50EF2863" w14:textId="41088FF7" w:rsidR="00631AA4" w:rsidRPr="002B3EA2" w:rsidRDefault="00631AA4" w:rsidP="00631AA4">
      <w:pPr>
        <w:pStyle w:val="NoSpacing"/>
        <w:ind w:firstLine="450"/>
        <w:jc w:val="both"/>
        <w:rPr>
          <w:rFonts w:ascii="Times New Roman" w:hAnsi="Times New Roman" w:cs="Times New Roman"/>
        </w:rPr>
      </w:pPr>
      <w:r w:rsidRPr="002B3EA2">
        <w:rPr>
          <w:rFonts w:ascii="Times New Roman" w:hAnsi="Times New Roman" w:cs="Times New Roman"/>
        </w:rPr>
        <w:t>Under pre-</w:t>
      </w:r>
      <w:r w:rsidRPr="002B3EA2">
        <w:rPr>
          <w:rFonts w:ascii="Times New Roman" w:hAnsi="Times New Roman" w:cs="Times New Roman"/>
          <w:u w:val="single"/>
        </w:rPr>
        <w:t>Bielski</w:t>
      </w:r>
      <w:r w:rsidRPr="002B3EA2">
        <w:rPr>
          <w:rFonts w:ascii="Times New Roman" w:hAnsi="Times New Roman" w:cs="Times New Roman"/>
        </w:rPr>
        <w:t xml:space="preserve"> Wisconsin law, gross negligence already encompassed reckless </w:t>
      </w:r>
      <w:r w:rsidR="00357657" w:rsidRPr="002B3EA2">
        <w:rPr>
          <w:rFonts w:ascii="Times New Roman" w:hAnsi="Times New Roman" w:cs="Times New Roman"/>
        </w:rPr>
        <w:t>or</w:t>
      </w:r>
      <w:r w:rsidRPr="002B3EA2">
        <w:rPr>
          <w:rFonts w:ascii="Times New Roman" w:hAnsi="Times New Roman" w:cs="Times New Roman"/>
        </w:rPr>
        <w:t xml:space="preserve"> wanton disregard. See </w:t>
      </w:r>
      <w:r w:rsidRPr="002B3EA2">
        <w:rPr>
          <w:rFonts w:ascii="Times New Roman" w:hAnsi="Times New Roman" w:cs="Times New Roman"/>
          <w:u w:val="single"/>
        </w:rPr>
        <w:t>Twist v. Aetna Casualty &amp; Surety Co.</w:t>
      </w:r>
      <w:r w:rsidRPr="002B3EA2">
        <w:rPr>
          <w:rFonts w:ascii="Times New Roman" w:hAnsi="Times New Roman" w:cs="Times New Roman"/>
        </w:rPr>
        <w:t xml:space="preserve">, 275 Wis. 174, 178, 81 N.W.2d 523 (1957). That history supports treating the phrases as equivalent. But under the rule against surplusage, statutory language should be read to give reasonable effect to every word. See </w:t>
      </w:r>
      <w:r w:rsidRPr="002B3EA2">
        <w:rPr>
          <w:rFonts w:ascii="Times New Roman" w:hAnsi="Times New Roman" w:cs="Times New Roman"/>
          <w:u w:val="single"/>
        </w:rPr>
        <w:t xml:space="preserve">State ex rel. </w:t>
      </w:r>
      <w:proofErr w:type="spellStart"/>
      <w:r w:rsidRPr="002B3EA2">
        <w:rPr>
          <w:rFonts w:ascii="Times New Roman" w:hAnsi="Times New Roman" w:cs="Times New Roman"/>
          <w:u w:val="single"/>
        </w:rPr>
        <w:t>Kalal</w:t>
      </w:r>
      <w:proofErr w:type="spellEnd"/>
      <w:r w:rsidRPr="002B3EA2">
        <w:rPr>
          <w:rFonts w:ascii="Times New Roman" w:hAnsi="Times New Roman" w:cs="Times New Roman"/>
          <w:u w:val="single"/>
        </w:rPr>
        <w:t xml:space="preserve"> v. Circuit Court for Dane County</w:t>
      </w:r>
      <w:r w:rsidRPr="002B3EA2">
        <w:rPr>
          <w:rFonts w:ascii="Times New Roman" w:hAnsi="Times New Roman" w:cs="Times New Roman"/>
        </w:rPr>
        <w:t xml:space="preserve">, 2004 WI 58, ¶ 46, 271 Wis. 2d 633, 681 N.W.2d 110. A court could therefore construe “gross negligence” and “willful or wanton misconduct” as distinct standards, with “willful or wanton misconduct” requiring a higher degree of culpability. See also </w:t>
      </w:r>
      <w:proofErr w:type="spellStart"/>
      <w:r w:rsidRPr="002B3EA2">
        <w:rPr>
          <w:rFonts w:ascii="Times New Roman" w:hAnsi="Times New Roman" w:cs="Times New Roman"/>
          <w:u w:val="single"/>
        </w:rPr>
        <w:t>Stroede</w:t>
      </w:r>
      <w:proofErr w:type="spellEnd"/>
      <w:r w:rsidRPr="002B3EA2">
        <w:rPr>
          <w:rFonts w:ascii="Times New Roman" w:hAnsi="Times New Roman" w:cs="Times New Roman"/>
          <w:u w:val="single"/>
        </w:rPr>
        <w:t xml:space="preserve"> v. Society Insurance</w:t>
      </w:r>
      <w:r w:rsidRPr="002B3EA2">
        <w:rPr>
          <w:rFonts w:ascii="Times New Roman" w:hAnsi="Times New Roman" w:cs="Times New Roman"/>
        </w:rPr>
        <w:t xml:space="preserve">, 2020 WI App 8, ¶ 18, 390 Wis. 2d </w:t>
      </w:r>
      <w:r w:rsidR="004A410B">
        <w:rPr>
          <w:rFonts w:ascii="Times New Roman" w:hAnsi="Times New Roman" w:cs="Times New Roman"/>
        </w:rPr>
        <w:t>817</w:t>
      </w:r>
      <w:r w:rsidRPr="002B3EA2">
        <w:rPr>
          <w:rFonts w:ascii="Times New Roman" w:hAnsi="Times New Roman" w:cs="Times New Roman"/>
        </w:rPr>
        <w:t>, 939 N.W.2d 614, discussing the “willful, wanton, or reckless” standard under Wis. Stat. § 895.529 without equating it with gross negligence.</w:t>
      </w:r>
    </w:p>
    <w:p w14:paraId="01ED38B5" w14:textId="77777777" w:rsidR="00631AA4" w:rsidRPr="002B3EA2" w:rsidRDefault="00631AA4" w:rsidP="00631AA4">
      <w:pPr>
        <w:pStyle w:val="NoSpacing"/>
        <w:ind w:firstLine="450"/>
        <w:jc w:val="both"/>
        <w:rPr>
          <w:rFonts w:ascii="Times New Roman" w:hAnsi="Times New Roman" w:cs="Times New Roman"/>
        </w:rPr>
      </w:pPr>
    </w:p>
    <w:p w14:paraId="1B019A23" w14:textId="04A529F6" w:rsidR="00631AA4" w:rsidRPr="002B3EA2" w:rsidRDefault="00631AA4" w:rsidP="00631AA4">
      <w:pPr>
        <w:pStyle w:val="NoSpacing"/>
        <w:ind w:firstLine="450"/>
        <w:jc w:val="both"/>
        <w:rPr>
          <w:rFonts w:ascii="Times New Roman" w:hAnsi="Times New Roman" w:cs="Times New Roman"/>
        </w:rPr>
      </w:pPr>
      <w:r w:rsidRPr="002B3EA2">
        <w:rPr>
          <w:rFonts w:ascii="Times New Roman" w:hAnsi="Times New Roman" w:cs="Times New Roman"/>
        </w:rPr>
        <w:t>When both standards appear in the applicable statute, practitioners should consider whether separate jury questions or separate definitional instructions are warranted.</w:t>
      </w:r>
    </w:p>
    <w:sectPr w:rsidR="00631AA4" w:rsidRPr="002B3EA2" w:rsidSect="002B3EA2">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375C74" w14:textId="77777777" w:rsidR="00336205" w:rsidRDefault="00336205" w:rsidP="00336205">
      <w:pPr>
        <w:spacing w:after="0" w:line="240" w:lineRule="auto"/>
      </w:pPr>
      <w:r>
        <w:separator/>
      </w:r>
    </w:p>
  </w:endnote>
  <w:endnote w:type="continuationSeparator" w:id="0">
    <w:p w14:paraId="3F77C0C6" w14:textId="77777777" w:rsidR="00336205" w:rsidRDefault="00336205" w:rsidP="003362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64FDA" w14:textId="77777777" w:rsidR="00336205" w:rsidRDefault="00336205" w:rsidP="00336205">
    <w:pPr>
      <w:pStyle w:val="Footer"/>
      <w:jc w:val="both"/>
      <w:rPr>
        <w:rFonts w:ascii="Arial" w:hAnsi="Arial" w:cs="Arial"/>
        <w:sz w:val="20"/>
        <w:szCs w:val="20"/>
      </w:rPr>
    </w:pPr>
  </w:p>
  <w:p w14:paraId="6808C51E" w14:textId="4875BF21" w:rsidR="00336205" w:rsidRPr="00336205" w:rsidRDefault="00336205" w:rsidP="00336205">
    <w:pPr>
      <w:pStyle w:val="Footer"/>
      <w:jc w:val="both"/>
      <w:rPr>
        <w:rFonts w:ascii="Arial" w:hAnsi="Arial" w:cs="Arial"/>
        <w:sz w:val="20"/>
        <w:szCs w:val="20"/>
      </w:rPr>
    </w:pPr>
    <w:r w:rsidRPr="00336205">
      <w:rPr>
        <w:rFonts w:ascii="Arial" w:hAnsi="Arial" w:cs="Arial"/>
        <w:sz w:val="20"/>
        <w:szCs w:val="20"/>
      </w:rPr>
      <w:t xml:space="preserve">Wisconsin Court System, </w:t>
    </w:r>
    <w:r w:rsidR="00691B8B">
      <w:rPr>
        <w:rFonts w:ascii="Arial" w:hAnsi="Arial" w:cs="Arial"/>
        <w:sz w:val="20"/>
        <w:szCs w:val="20"/>
      </w:rPr>
      <w:t>7</w:t>
    </w:r>
    <w:r w:rsidRPr="00336205">
      <w:rPr>
        <w:rFonts w:ascii="Arial" w:hAnsi="Arial" w:cs="Arial"/>
        <w:sz w:val="20"/>
        <w:szCs w:val="20"/>
      </w:rPr>
      <w:t>/2026</w:t>
    </w:r>
    <w:r w:rsidRPr="00336205">
      <w:rPr>
        <w:rFonts w:ascii="Arial" w:hAnsi="Arial" w:cs="Arial"/>
        <w:sz w:val="20"/>
        <w:szCs w:val="20"/>
      </w:rPr>
      <w:tab/>
    </w:r>
    <w:r w:rsidRPr="00336205">
      <w:rPr>
        <w:rFonts w:ascii="Arial" w:hAnsi="Arial" w:cs="Arial"/>
        <w:sz w:val="20"/>
        <w:szCs w:val="20"/>
      </w:rPr>
      <w:tab/>
      <w:t>(</w:t>
    </w:r>
    <w:r w:rsidR="002B3EA2">
      <w:rPr>
        <w:rFonts w:ascii="Arial" w:hAnsi="Arial" w:cs="Arial"/>
        <w:sz w:val="20"/>
        <w:szCs w:val="20"/>
      </w:rPr>
      <w:t>Release No. 61</w:t>
    </w:r>
    <w:r w:rsidRPr="00336205">
      <w:rPr>
        <w:rFonts w:ascii="Arial" w:hAnsi="Arial" w:cs="Arial"/>
        <w:sz w:val="20"/>
        <w:szCs w:val="20"/>
      </w:rPr>
      <w:t>)</w:t>
    </w:r>
  </w:p>
  <w:sdt>
    <w:sdtPr>
      <w:rPr>
        <w:rFonts w:ascii="Arial" w:hAnsi="Arial" w:cs="Arial"/>
        <w:sz w:val="20"/>
        <w:szCs w:val="20"/>
      </w:rPr>
      <w:id w:val="-1326587526"/>
      <w:docPartObj>
        <w:docPartGallery w:val="Page Numbers (Bottom of Page)"/>
        <w:docPartUnique/>
      </w:docPartObj>
    </w:sdtPr>
    <w:sdtEndPr>
      <w:rPr>
        <w:noProof/>
      </w:rPr>
    </w:sdtEndPr>
    <w:sdtContent>
      <w:p w14:paraId="0C0661DC" w14:textId="6E024472" w:rsidR="00336205" w:rsidRPr="00336205" w:rsidRDefault="00336205">
        <w:pPr>
          <w:pStyle w:val="Footer"/>
          <w:jc w:val="center"/>
          <w:rPr>
            <w:rFonts w:ascii="Arial" w:hAnsi="Arial" w:cs="Arial"/>
            <w:sz w:val="20"/>
            <w:szCs w:val="20"/>
          </w:rPr>
        </w:pPr>
        <w:r w:rsidRPr="00336205">
          <w:rPr>
            <w:rFonts w:ascii="Arial" w:hAnsi="Arial" w:cs="Arial"/>
            <w:sz w:val="20"/>
            <w:szCs w:val="20"/>
          </w:rPr>
          <w:fldChar w:fldCharType="begin"/>
        </w:r>
        <w:r w:rsidRPr="00336205">
          <w:rPr>
            <w:rFonts w:ascii="Arial" w:hAnsi="Arial" w:cs="Arial"/>
            <w:sz w:val="20"/>
            <w:szCs w:val="20"/>
          </w:rPr>
          <w:instrText xml:space="preserve"> PAGE   \* MERGEFORMAT </w:instrText>
        </w:r>
        <w:r w:rsidRPr="00336205">
          <w:rPr>
            <w:rFonts w:ascii="Arial" w:hAnsi="Arial" w:cs="Arial"/>
            <w:sz w:val="20"/>
            <w:szCs w:val="20"/>
          </w:rPr>
          <w:fldChar w:fldCharType="separate"/>
        </w:r>
        <w:r w:rsidRPr="00336205">
          <w:rPr>
            <w:rFonts w:ascii="Arial" w:hAnsi="Arial" w:cs="Arial"/>
            <w:noProof/>
            <w:sz w:val="20"/>
            <w:szCs w:val="20"/>
          </w:rPr>
          <w:t>2</w:t>
        </w:r>
        <w:r w:rsidRPr="00336205">
          <w:rPr>
            <w:rFonts w:ascii="Arial" w:hAnsi="Arial" w:cs="Arial"/>
            <w:noProof/>
            <w:sz w:val="20"/>
            <w:szCs w:val="20"/>
          </w:rPr>
          <w:fldChar w:fldCharType="end"/>
        </w:r>
      </w:p>
    </w:sdtContent>
  </w:sdt>
  <w:p w14:paraId="7D730D31" w14:textId="77777777" w:rsidR="00336205" w:rsidRDefault="003362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4B199C" w14:textId="77777777" w:rsidR="00336205" w:rsidRDefault="00336205" w:rsidP="00336205">
      <w:pPr>
        <w:spacing w:after="0" w:line="240" w:lineRule="auto"/>
      </w:pPr>
      <w:r>
        <w:separator/>
      </w:r>
    </w:p>
  </w:footnote>
  <w:footnote w:type="continuationSeparator" w:id="0">
    <w:p w14:paraId="0FFD90E7" w14:textId="77777777" w:rsidR="00336205" w:rsidRDefault="00336205" w:rsidP="003362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1443D" w14:textId="77777777" w:rsidR="00336205" w:rsidRDefault="00336205" w:rsidP="00336205">
    <w:pPr>
      <w:widowControl w:val="0"/>
      <w:tabs>
        <w:tab w:val="center" w:pos="4680"/>
        <w:tab w:val="right" w:pos="9360"/>
      </w:tabs>
      <w:autoSpaceDE w:val="0"/>
      <w:autoSpaceDN w:val="0"/>
      <w:adjustRightInd w:val="0"/>
      <w:spacing w:after="0" w:line="240" w:lineRule="auto"/>
      <w:rPr>
        <w:rFonts w:ascii="Arial" w:eastAsia="Times New Roman" w:hAnsi="Arial" w:cs="Arial"/>
        <w:b/>
        <w:bCs/>
        <w:sz w:val="28"/>
        <w:szCs w:val="28"/>
      </w:rPr>
    </w:pPr>
  </w:p>
  <w:p w14:paraId="3275F9FF" w14:textId="45A81B04" w:rsidR="00336205" w:rsidRDefault="00336205" w:rsidP="00336205">
    <w:pPr>
      <w:widowControl w:val="0"/>
      <w:tabs>
        <w:tab w:val="center" w:pos="4680"/>
        <w:tab w:val="right" w:pos="9360"/>
      </w:tabs>
      <w:autoSpaceDE w:val="0"/>
      <w:autoSpaceDN w:val="0"/>
      <w:adjustRightInd w:val="0"/>
      <w:spacing w:after="0" w:line="240" w:lineRule="auto"/>
      <w:rPr>
        <w:rFonts w:ascii="Arial" w:eastAsia="Times New Roman" w:hAnsi="Arial" w:cs="Arial"/>
        <w:b/>
        <w:bCs/>
        <w:sz w:val="28"/>
        <w:szCs w:val="28"/>
      </w:rPr>
    </w:pPr>
    <w:r w:rsidRPr="00336205">
      <w:rPr>
        <w:rFonts w:ascii="Arial" w:eastAsia="Times New Roman" w:hAnsi="Arial" w:cs="Arial"/>
        <w:b/>
        <w:bCs/>
        <w:sz w:val="28"/>
        <w:szCs w:val="28"/>
      </w:rPr>
      <w:t>1006</w:t>
    </w:r>
    <w:r w:rsidRPr="00336205">
      <w:rPr>
        <w:rFonts w:ascii="Arial" w:eastAsia="Times New Roman" w:hAnsi="Arial" w:cs="Arial"/>
        <w:b/>
        <w:bCs/>
        <w:sz w:val="28"/>
        <w:szCs w:val="28"/>
      </w:rPr>
      <w:tab/>
      <w:t>WIS JI-CIVIL</w:t>
    </w:r>
    <w:r w:rsidRPr="00336205">
      <w:rPr>
        <w:rFonts w:ascii="Arial" w:eastAsia="Times New Roman" w:hAnsi="Arial" w:cs="Arial"/>
        <w:b/>
        <w:bCs/>
        <w:sz w:val="28"/>
        <w:szCs w:val="28"/>
      </w:rPr>
      <w:tab/>
      <w:t>1006</w:t>
    </w:r>
  </w:p>
  <w:p w14:paraId="6F6B8D23" w14:textId="0C12639D" w:rsidR="00336205" w:rsidRDefault="00336205" w:rsidP="00336205">
    <w:pPr>
      <w:widowControl w:val="0"/>
      <w:tabs>
        <w:tab w:val="center" w:pos="4680"/>
        <w:tab w:val="right" w:pos="9360"/>
      </w:tabs>
      <w:autoSpaceDE w:val="0"/>
      <w:autoSpaceDN w:val="0"/>
      <w:adjustRightInd w:val="0"/>
      <w:spacing w:after="0" w:line="240" w:lineRule="auto"/>
      <w:rPr>
        <w:rFonts w:ascii="Arial" w:eastAsia="Times New Roman" w:hAnsi="Arial" w:cs="Arial"/>
        <w:b/>
        <w:bCs/>
        <w:sz w:val="28"/>
        <w:szCs w:val="28"/>
      </w:rPr>
    </w:pPr>
  </w:p>
  <w:p w14:paraId="38844717" w14:textId="77777777" w:rsidR="00336205" w:rsidRPr="00336205" w:rsidRDefault="00336205" w:rsidP="00336205">
    <w:pPr>
      <w:widowControl w:val="0"/>
      <w:tabs>
        <w:tab w:val="center" w:pos="4680"/>
        <w:tab w:val="right" w:pos="9360"/>
      </w:tabs>
      <w:autoSpaceDE w:val="0"/>
      <w:autoSpaceDN w:val="0"/>
      <w:adjustRightInd w:val="0"/>
      <w:spacing w:after="0" w:line="240" w:lineRule="auto"/>
      <w:rPr>
        <w:rFonts w:ascii="Arial" w:eastAsia="Times New Roman" w:hAnsi="Arial" w:cs="Arial"/>
        <w:b/>
        <w:bCs/>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005F7D"/>
    <w:multiLevelType w:val="hybridMultilevel"/>
    <w:tmpl w:val="13227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205"/>
    <w:rsid w:val="000F7B34"/>
    <w:rsid w:val="00177BE2"/>
    <w:rsid w:val="002B3EA2"/>
    <w:rsid w:val="00336205"/>
    <w:rsid w:val="00341607"/>
    <w:rsid w:val="00357657"/>
    <w:rsid w:val="003A5D10"/>
    <w:rsid w:val="003D620B"/>
    <w:rsid w:val="004A410B"/>
    <w:rsid w:val="00610D46"/>
    <w:rsid w:val="00631AA4"/>
    <w:rsid w:val="00682BEE"/>
    <w:rsid w:val="00691B8B"/>
    <w:rsid w:val="006A1ADE"/>
    <w:rsid w:val="0093201E"/>
    <w:rsid w:val="009833DA"/>
    <w:rsid w:val="00A4379A"/>
    <w:rsid w:val="00A620C2"/>
    <w:rsid w:val="00BF2C7D"/>
    <w:rsid w:val="00C052B1"/>
    <w:rsid w:val="00D73998"/>
    <w:rsid w:val="00E432B5"/>
    <w:rsid w:val="00EC5238"/>
    <w:rsid w:val="00EF2B32"/>
    <w:rsid w:val="00F723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DBB64"/>
  <w15:chartTrackingRefBased/>
  <w15:docId w15:val="{780D8E94-9C41-4570-86A7-135720B31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62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6205"/>
  </w:style>
  <w:style w:type="paragraph" w:styleId="Footer">
    <w:name w:val="footer"/>
    <w:basedOn w:val="Normal"/>
    <w:link w:val="FooterChar"/>
    <w:uiPriority w:val="99"/>
    <w:unhideWhenUsed/>
    <w:rsid w:val="003362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6205"/>
  </w:style>
  <w:style w:type="paragraph" w:styleId="NoSpacing">
    <w:name w:val="No Spacing"/>
    <w:uiPriority w:val="1"/>
    <w:qFormat/>
    <w:rsid w:val="00336205"/>
    <w:pPr>
      <w:spacing w:after="0" w:line="240" w:lineRule="auto"/>
    </w:pPr>
  </w:style>
  <w:style w:type="character" w:styleId="LineNumber">
    <w:name w:val="line number"/>
    <w:basedOn w:val="DefaultParagraphFont"/>
    <w:uiPriority w:val="99"/>
    <w:semiHidden/>
    <w:unhideWhenUsed/>
    <w:rsid w:val="003362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0E7586-4872-42C4-82C5-5F6921949F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Pages>
  <Words>829</Words>
  <Characters>4731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Wisconsin Supreme Court</Company>
  <LinksUpToDate>false</LinksUpToDate>
  <CharactersWithSpaces>5549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Bryce Pierson</dc:creator>
  <cp:keywords/>
  <dc:description/>
  <cp:lastModifiedBy>Bryce Pierson</cp:lastModifiedBy>
  <cp:revision>7</cp:revision>
  <cp:lastPrinted>2026-05-22T19:07:00Z</cp:lastPrinted>
  <dcterms:created xsi:type="dcterms:W3CDTF">2026-07-20T15:54:00Z</dcterms:created>
  <dcterms:modified xsi:type="dcterms:W3CDTF">2026-07-20T16:12:00Z</dcterms:modified>
</cp:coreProperties>
</file>