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28F" w:rsidRPr="00EF4BD5" w:rsidRDefault="00A3328F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ascii="Times New Roman" w:eastAsia="PMingLiU" w:hAnsi="Times New Roman"/>
          <w:sz w:val="26"/>
          <w:szCs w:val="26"/>
        </w:rPr>
      </w:pPr>
      <w:r w:rsidRPr="00EF4BD5">
        <w:rPr>
          <w:rFonts w:ascii="Times New Roman" w:eastAsia="PMingLiU" w:hAnsi="Times New Roman"/>
          <w:b/>
          <w:bCs/>
          <w:sz w:val="26"/>
          <w:szCs w:val="26"/>
        </w:rPr>
        <w:t>1060</w:t>
      </w:r>
      <w:r w:rsidRPr="00EF4BD5">
        <w:rPr>
          <w:rFonts w:ascii="Times New Roman" w:eastAsia="PMingLiU" w:hAnsi="Times New Roman"/>
          <w:b/>
          <w:bCs/>
          <w:sz w:val="26"/>
          <w:szCs w:val="26"/>
        </w:rPr>
        <w:tab/>
        <w:t>LOOKOUT: BACKING</w:t>
      </w:r>
    </w:p>
    <w:p w:rsidR="00A3328F" w:rsidRPr="00EF4BD5" w:rsidRDefault="00A3328F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PMingLiU" w:hAnsi="Times New Roman"/>
          <w:sz w:val="26"/>
          <w:szCs w:val="26"/>
        </w:rPr>
      </w:pPr>
      <w:r w:rsidRPr="00EF4BD5">
        <w:rPr>
          <w:rFonts w:ascii="Times New Roman" w:eastAsia="PMingLiU" w:hAnsi="Times New Roman"/>
          <w:sz w:val="26"/>
          <w:szCs w:val="26"/>
        </w:rPr>
        <w:fldChar w:fldCharType="begin"/>
      </w:r>
      <w:r w:rsidRPr="00EF4BD5">
        <w:rPr>
          <w:rFonts w:ascii="Times New Roman" w:eastAsia="PMingLiU" w:hAnsi="Times New Roman"/>
          <w:sz w:val="26"/>
          <w:szCs w:val="26"/>
        </w:rPr>
        <w:instrText>ADVANCE \d3</w:instrText>
      </w:r>
      <w:r w:rsidRPr="00EF4BD5">
        <w:rPr>
          <w:rFonts w:ascii="Times New Roman" w:eastAsia="PMingLiU" w:hAnsi="Times New Roman"/>
          <w:sz w:val="26"/>
          <w:szCs w:val="26"/>
        </w:rPr>
        <w:fldChar w:fldCharType="end"/>
      </w:r>
    </w:p>
    <w:p w:rsidR="00A3328F" w:rsidRPr="00EF4BD5" w:rsidRDefault="00A3328F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19" w:lineRule="auto"/>
        <w:ind w:firstLine="720"/>
        <w:jc w:val="both"/>
        <w:rPr>
          <w:rFonts w:ascii="Times New Roman" w:eastAsia="PMingLiU" w:hAnsi="Times New Roman"/>
          <w:sz w:val="26"/>
          <w:szCs w:val="26"/>
        </w:rPr>
      </w:pPr>
      <w:r w:rsidRPr="00EF4BD5">
        <w:rPr>
          <w:rFonts w:ascii="Times New Roman" w:eastAsia="PMingLiU" w:hAnsi="Times New Roman"/>
          <w:sz w:val="26"/>
          <w:szCs w:val="26"/>
        </w:rPr>
        <w:t>[Insert appropriate paragraphs of Wis JI</w:t>
      </w:r>
      <w:r w:rsidRPr="00EF4BD5">
        <w:rPr>
          <w:rFonts w:ascii="Times New Roman" w:eastAsia="PMingLiU" w:hAnsi="Times New Roman"/>
          <w:sz w:val="26"/>
          <w:szCs w:val="26"/>
        </w:rPr>
        <w:noBreakHyphen/>
        <w:t>Civil 1055, Lookout.]</w:t>
      </w:r>
    </w:p>
    <w:p w:rsidR="00A3328F" w:rsidRPr="00EF4BD5" w:rsidRDefault="00A3328F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19" w:lineRule="auto"/>
        <w:ind w:firstLine="720"/>
        <w:jc w:val="both"/>
        <w:rPr>
          <w:rFonts w:ascii="Times New Roman" w:eastAsia="PMingLiU" w:hAnsi="Times New Roman"/>
          <w:sz w:val="26"/>
          <w:szCs w:val="26"/>
        </w:rPr>
      </w:pPr>
      <w:r w:rsidRPr="00EF4BD5">
        <w:rPr>
          <w:rFonts w:ascii="Times New Roman" w:eastAsia="PMingLiU" w:hAnsi="Times New Roman"/>
          <w:sz w:val="26"/>
          <w:szCs w:val="26"/>
        </w:rPr>
        <w:t xml:space="preserve">A safety statute provides that the driver of a vehicle shall not back the vehicle unless the movement </w:t>
      </w:r>
      <w:proofErr w:type="gramStart"/>
      <w:r w:rsidRPr="00EF4BD5">
        <w:rPr>
          <w:rFonts w:ascii="Times New Roman" w:eastAsia="PMingLiU" w:hAnsi="Times New Roman"/>
          <w:sz w:val="26"/>
          <w:szCs w:val="26"/>
        </w:rPr>
        <w:t>can be made</w:t>
      </w:r>
      <w:proofErr w:type="gramEnd"/>
      <w:r w:rsidRPr="00EF4BD5">
        <w:rPr>
          <w:rFonts w:ascii="Times New Roman" w:eastAsia="PMingLiU" w:hAnsi="Times New Roman"/>
          <w:sz w:val="26"/>
          <w:szCs w:val="26"/>
        </w:rPr>
        <w:t xml:space="preserve"> with reasonable safety.</w:t>
      </w:r>
    </w:p>
    <w:p w:rsidR="00A3328F" w:rsidRPr="00EF4BD5" w:rsidRDefault="00A3328F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19" w:lineRule="auto"/>
        <w:ind w:firstLine="720"/>
        <w:jc w:val="both"/>
        <w:rPr>
          <w:rFonts w:ascii="Times New Roman" w:eastAsia="PMingLiU" w:hAnsi="Times New Roman"/>
          <w:sz w:val="26"/>
          <w:szCs w:val="26"/>
        </w:rPr>
      </w:pPr>
      <w:r w:rsidRPr="00EF4BD5">
        <w:rPr>
          <w:rFonts w:ascii="Times New Roman" w:eastAsia="PMingLiU" w:hAnsi="Times New Roman"/>
          <w:sz w:val="26"/>
          <w:szCs w:val="26"/>
        </w:rPr>
        <w:t>To comply with this statute, a driver must, before he or she backs the vehicle, use ordinary care to keep a careful lookout for the presence and location of other vehicles, objects, or pedestrians that may be approaching or within the driver</w:t>
      </w:r>
      <w:r w:rsidR="00094834">
        <w:rPr>
          <w:rFonts w:ascii="Times New Roman" w:eastAsia="PMingLiU" w:hAnsi="Times New Roman"/>
          <w:sz w:val="26"/>
          <w:szCs w:val="26"/>
        </w:rPr>
        <w:t>’</w:t>
      </w:r>
      <w:r w:rsidRPr="00EF4BD5">
        <w:rPr>
          <w:rFonts w:ascii="Times New Roman" w:eastAsia="PMingLiU" w:hAnsi="Times New Roman"/>
          <w:sz w:val="26"/>
          <w:szCs w:val="26"/>
        </w:rPr>
        <w:t>s course of travel.</w:t>
      </w:r>
      <w:r w:rsidR="00EF4BD5">
        <w:rPr>
          <w:rFonts w:ascii="Times New Roman" w:eastAsia="PMingLiU" w:hAnsi="Times New Roman"/>
          <w:sz w:val="26"/>
          <w:szCs w:val="26"/>
        </w:rPr>
        <w:t xml:space="preserve"> </w:t>
      </w:r>
      <w:r w:rsidRPr="00EF4BD5">
        <w:rPr>
          <w:rFonts w:ascii="Times New Roman" w:eastAsia="PMingLiU" w:hAnsi="Times New Roman"/>
          <w:sz w:val="26"/>
          <w:szCs w:val="26"/>
        </w:rPr>
        <w:t xml:space="preserve">In addition, the driver must exercise reasonable judgment in calculating the time required to reach a proper position on the highway (and the distance and speed of any vehicle seen by the driver to be approaching the </w:t>
      </w:r>
      <w:bookmarkStart w:id="0" w:name="_GoBack"/>
      <w:bookmarkEnd w:id="0"/>
      <w:r w:rsidRPr="00451FCB">
        <w:rPr>
          <w:rFonts w:ascii="Times New Roman" w:eastAsia="PMingLiU" w:hAnsi="Times New Roman"/>
          <w:sz w:val="26"/>
          <w:szCs w:val="26"/>
        </w:rPr>
        <w:t>driver</w:t>
      </w:r>
      <w:r w:rsidR="00094834" w:rsidRPr="00451FCB">
        <w:rPr>
          <w:rFonts w:ascii="Times New Roman" w:eastAsia="PMingLiU" w:hAnsi="Times New Roman"/>
          <w:sz w:val="26"/>
          <w:szCs w:val="26"/>
        </w:rPr>
        <w:t>’</w:t>
      </w:r>
      <w:r w:rsidRPr="00451FCB">
        <w:rPr>
          <w:rFonts w:ascii="Times New Roman" w:eastAsia="PMingLiU" w:hAnsi="Times New Roman"/>
          <w:sz w:val="26"/>
          <w:szCs w:val="26"/>
        </w:rPr>
        <w:t>s</w:t>
      </w:r>
      <w:r w:rsidRPr="00EF4BD5">
        <w:rPr>
          <w:rFonts w:ascii="Times New Roman" w:eastAsia="PMingLiU" w:hAnsi="Times New Roman"/>
          <w:sz w:val="26"/>
          <w:szCs w:val="26"/>
        </w:rPr>
        <w:t xml:space="preserve"> course of travel).</w:t>
      </w:r>
    </w:p>
    <w:p w:rsidR="00A3328F" w:rsidRPr="00EF4BD5" w:rsidRDefault="00A3328F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PMingLiU" w:hAnsi="Times New Roman"/>
          <w:sz w:val="22"/>
          <w:szCs w:val="22"/>
        </w:rPr>
      </w:pPr>
      <w:r w:rsidRPr="00EF4BD5">
        <w:rPr>
          <w:rFonts w:ascii="Times New Roman" w:eastAsia="PMingLiU" w:hAnsi="Times New Roman"/>
          <w:sz w:val="26"/>
          <w:szCs w:val="26"/>
        </w:rPr>
        <w:fldChar w:fldCharType="begin"/>
      </w:r>
      <w:r w:rsidRPr="00EF4BD5">
        <w:rPr>
          <w:rFonts w:ascii="Times New Roman" w:eastAsia="PMingLiU" w:hAnsi="Times New Roman"/>
          <w:sz w:val="26"/>
          <w:szCs w:val="26"/>
        </w:rPr>
        <w:instrText>ADVANCE \d3</w:instrText>
      </w:r>
      <w:r w:rsidRPr="00EF4BD5">
        <w:rPr>
          <w:rFonts w:ascii="Times New Roman" w:eastAsia="PMingLiU" w:hAnsi="Times New Roman"/>
          <w:sz w:val="26"/>
          <w:szCs w:val="26"/>
        </w:rPr>
        <w:fldChar w:fldCharType="end"/>
      </w:r>
      <w:r w:rsidRPr="00EF4BD5">
        <w:rPr>
          <w:rFonts w:ascii="Times New Roman" w:eastAsia="PMingLiU" w:hAnsi="Times New Roman"/>
          <w:b/>
          <w:bCs/>
          <w:sz w:val="22"/>
          <w:szCs w:val="22"/>
        </w:rPr>
        <w:t>COMMENT</w:t>
      </w:r>
    </w:p>
    <w:p w:rsidR="00A3328F" w:rsidRPr="00EF4BD5" w:rsidRDefault="00A3328F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PMingLiU" w:hAnsi="Times New Roman"/>
          <w:sz w:val="22"/>
          <w:szCs w:val="22"/>
        </w:rPr>
      </w:pPr>
    </w:p>
    <w:p w:rsidR="00A3328F" w:rsidRPr="00EF4BD5" w:rsidRDefault="00A3328F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rFonts w:ascii="Times New Roman" w:eastAsia="PMingLiU" w:hAnsi="Times New Roman"/>
          <w:sz w:val="22"/>
          <w:szCs w:val="22"/>
        </w:rPr>
      </w:pPr>
      <w:r w:rsidRPr="00EF4BD5">
        <w:rPr>
          <w:rFonts w:ascii="Times New Roman" w:eastAsia="PMingLiU" w:hAnsi="Times New Roman"/>
          <w:sz w:val="22"/>
          <w:szCs w:val="22"/>
        </w:rPr>
        <w:t xml:space="preserve">The instruction and comment </w:t>
      </w:r>
      <w:proofErr w:type="gramStart"/>
      <w:r w:rsidRPr="00EF4BD5">
        <w:rPr>
          <w:rFonts w:ascii="Times New Roman" w:eastAsia="PMingLiU" w:hAnsi="Times New Roman"/>
          <w:sz w:val="22"/>
          <w:szCs w:val="22"/>
        </w:rPr>
        <w:t>were originally published</w:t>
      </w:r>
      <w:proofErr w:type="gramEnd"/>
      <w:r w:rsidRPr="00EF4BD5">
        <w:rPr>
          <w:rFonts w:ascii="Times New Roman" w:eastAsia="PMingLiU" w:hAnsi="Times New Roman"/>
          <w:sz w:val="22"/>
          <w:szCs w:val="22"/>
        </w:rPr>
        <w:t xml:space="preserve"> in 1960.</w:t>
      </w:r>
      <w:r w:rsidR="00EF4BD5">
        <w:rPr>
          <w:rFonts w:ascii="Times New Roman" w:eastAsia="PMingLiU" w:hAnsi="Times New Roman"/>
          <w:sz w:val="22"/>
          <w:szCs w:val="22"/>
        </w:rPr>
        <w:t xml:space="preserve"> </w:t>
      </w:r>
      <w:r w:rsidRPr="00EF4BD5">
        <w:rPr>
          <w:rFonts w:ascii="Times New Roman" w:eastAsia="PMingLiU" w:hAnsi="Times New Roman"/>
          <w:sz w:val="22"/>
          <w:szCs w:val="22"/>
        </w:rPr>
        <w:t xml:space="preserve">The instruction </w:t>
      </w:r>
      <w:proofErr w:type="gramStart"/>
      <w:r w:rsidRPr="00EF4BD5">
        <w:rPr>
          <w:rFonts w:ascii="Times New Roman" w:eastAsia="PMingLiU" w:hAnsi="Times New Roman"/>
          <w:sz w:val="22"/>
          <w:szCs w:val="22"/>
        </w:rPr>
        <w:t>was revised</w:t>
      </w:r>
      <w:proofErr w:type="gramEnd"/>
      <w:r w:rsidRPr="00EF4BD5">
        <w:rPr>
          <w:rFonts w:ascii="Times New Roman" w:eastAsia="PMingLiU" w:hAnsi="Times New Roman"/>
          <w:sz w:val="22"/>
          <w:szCs w:val="22"/>
        </w:rPr>
        <w:t xml:space="preserve"> in 2008.</w:t>
      </w:r>
      <w:r w:rsidR="00EF4BD5">
        <w:rPr>
          <w:rFonts w:ascii="Times New Roman" w:eastAsia="PMingLiU" w:hAnsi="Times New Roman"/>
          <w:sz w:val="22"/>
          <w:szCs w:val="22"/>
        </w:rPr>
        <w:t xml:space="preserve"> </w:t>
      </w:r>
      <w:r w:rsidRPr="00EF4BD5">
        <w:rPr>
          <w:rFonts w:ascii="Times New Roman" w:eastAsia="PMingLiU" w:hAnsi="Times New Roman"/>
          <w:sz w:val="22"/>
          <w:szCs w:val="22"/>
        </w:rPr>
        <w:t xml:space="preserve">The comment </w:t>
      </w:r>
      <w:proofErr w:type="gramStart"/>
      <w:r w:rsidRPr="00EF4BD5">
        <w:rPr>
          <w:rFonts w:ascii="Times New Roman" w:eastAsia="PMingLiU" w:hAnsi="Times New Roman"/>
          <w:sz w:val="22"/>
          <w:szCs w:val="22"/>
        </w:rPr>
        <w:t>was updated</w:t>
      </w:r>
      <w:proofErr w:type="gramEnd"/>
      <w:r w:rsidRPr="00EF4BD5">
        <w:rPr>
          <w:rFonts w:ascii="Times New Roman" w:eastAsia="PMingLiU" w:hAnsi="Times New Roman"/>
          <w:sz w:val="22"/>
          <w:szCs w:val="22"/>
        </w:rPr>
        <w:t xml:space="preserve"> in 1980 and 2008.</w:t>
      </w:r>
    </w:p>
    <w:p w:rsidR="00A3328F" w:rsidRPr="00EF4BD5" w:rsidRDefault="00A3328F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PMingLiU" w:hAnsi="Times New Roman"/>
          <w:sz w:val="22"/>
          <w:szCs w:val="22"/>
        </w:rPr>
      </w:pPr>
    </w:p>
    <w:p w:rsidR="00A3328F" w:rsidRPr="00EF4BD5" w:rsidRDefault="00A3328F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rFonts w:ascii="Times New Roman" w:eastAsia="PMingLiU" w:hAnsi="Times New Roman"/>
          <w:sz w:val="22"/>
          <w:szCs w:val="22"/>
        </w:rPr>
      </w:pPr>
      <w:r w:rsidRPr="00EF4BD5">
        <w:rPr>
          <w:rFonts w:ascii="Times New Roman" w:eastAsia="PMingLiU" w:hAnsi="Times New Roman"/>
          <w:sz w:val="22"/>
          <w:szCs w:val="22"/>
        </w:rPr>
        <w:t xml:space="preserve">Wis. Stat. </w:t>
      </w:r>
      <w:r w:rsidR="002D1D98" w:rsidRPr="002D1D98">
        <w:rPr>
          <w:rFonts w:ascii="Times New Roman" w:eastAsia="PMingLiU" w:hAnsi="Times New Roman"/>
          <w:sz w:val="22"/>
          <w:szCs w:val="22"/>
        </w:rPr>
        <w:t>§</w:t>
      </w:r>
      <w:r w:rsidRPr="00EF4BD5">
        <w:rPr>
          <w:rFonts w:ascii="Times New Roman" w:eastAsia="PMingLiU" w:hAnsi="Times New Roman"/>
          <w:sz w:val="22"/>
          <w:szCs w:val="22"/>
        </w:rPr>
        <w:t xml:space="preserve"> 346.87.</w:t>
      </w:r>
    </w:p>
    <w:p w:rsidR="00A3328F" w:rsidRPr="00EF4BD5" w:rsidRDefault="00A3328F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PMingLiU" w:hAnsi="Times New Roman"/>
          <w:sz w:val="22"/>
          <w:szCs w:val="22"/>
        </w:rPr>
      </w:pPr>
    </w:p>
    <w:p w:rsidR="00A3328F" w:rsidRPr="00EF4BD5" w:rsidRDefault="00A3328F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rFonts w:ascii="Times New Roman" w:eastAsia="PMingLiU" w:hAnsi="Times New Roman"/>
          <w:sz w:val="22"/>
          <w:szCs w:val="22"/>
        </w:rPr>
      </w:pPr>
      <w:r w:rsidRPr="00EF4BD5">
        <w:rPr>
          <w:rFonts w:ascii="Times New Roman" w:eastAsia="PMingLiU" w:hAnsi="Times New Roman"/>
          <w:b/>
          <w:bCs/>
          <w:sz w:val="22"/>
          <w:szCs w:val="22"/>
        </w:rPr>
        <w:t>Driver or Operator</w:t>
      </w:r>
      <w:r w:rsidRPr="00EF4BD5">
        <w:rPr>
          <w:rFonts w:ascii="Times New Roman" w:eastAsia="PMingLiU" w:hAnsi="Times New Roman"/>
          <w:sz w:val="22"/>
          <w:szCs w:val="22"/>
        </w:rPr>
        <w:t>.</w:t>
      </w:r>
      <w:r w:rsidR="00EF4BD5">
        <w:rPr>
          <w:rFonts w:ascii="Times New Roman" w:eastAsia="PMingLiU" w:hAnsi="Times New Roman"/>
          <w:sz w:val="22"/>
          <w:szCs w:val="22"/>
        </w:rPr>
        <w:t xml:space="preserve"> </w:t>
      </w:r>
      <w:r w:rsidRPr="00EF4BD5">
        <w:rPr>
          <w:rFonts w:ascii="Times New Roman" w:eastAsia="PMingLiU" w:hAnsi="Times New Roman"/>
          <w:sz w:val="22"/>
          <w:szCs w:val="22"/>
        </w:rPr>
        <w:t>This instruction applies to either an operator or a driver of a motor vehicle.</w:t>
      </w:r>
      <w:r w:rsidR="00EF4BD5">
        <w:rPr>
          <w:rFonts w:ascii="Times New Roman" w:eastAsia="PMingLiU" w:hAnsi="Times New Roman"/>
          <w:sz w:val="22"/>
          <w:szCs w:val="22"/>
        </w:rPr>
        <w:t xml:space="preserve"> </w:t>
      </w:r>
      <w:r w:rsidRPr="00EF4BD5">
        <w:rPr>
          <w:rFonts w:ascii="Times New Roman" w:eastAsia="PMingLiU" w:hAnsi="Times New Roman"/>
          <w:sz w:val="22"/>
          <w:szCs w:val="22"/>
        </w:rPr>
        <w:t xml:space="preserve">If </w:t>
      </w:r>
      <w:r w:rsidR="00094834">
        <w:rPr>
          <w:rFonts w:ascii="Times New Roman" w:eastAsia="PMingLiU" w:hAnsi="Times New Roman"/>
          <w:sz w:val="22"/>
          <w:szCs w:val="22"/>
        </w:rPr>
        <w:t>“</w:t>
      </w:r>
      <w:r w:rsidRPr="00EF4BD5">
        <w:rPr>
          <w:rFonts w:ascii="Times New Roman" w:eastAsia="PMingLiU" w:hAnsi="Times New Roman"/>
          <w:sz w:val="22"/>
          <w:szCs w:val="22"/>
        </w:rPr>
        <w:t>operator</w:t>
      </w:r>
      <w:r w:rsidR="00094834">
        <w:rPr>
          <w:rFonts w:ascii="Times New Roman" w:eastAsia="PMingLiU" w:hAnsi="Times New Roman"/>
          <w:sz w:val="22"/>
          <w:szCs w:val="22"/>
        </w:rPr>
        <w:t>”</w:t>
      </w:r>
      <w:r w:rsidRPr="00EF4BD5">
        <w:rPr>
          <w:rFonts w:ascii="Times New Roman" w:eastAsia="PMingLiU" w:hAnsi="Times New Roman"/>
          <w:sz w:val="22"/>
          <w:szCs w:val="22"/>
        </w:rPr>
        <w:t xml:space="preserve"> is </w:t>
      </w:r>
      <w:proofErr w:type="gramStart"/>
      <w:r w:rsidRPr="00EF4BD5">
        <w:rPr>
          <w:rFonts w:ascii="Times New Roman" w:eastAsia="PMingLiU" w:hAnsi="Times New Roman"/>
          <w:sz w:val="22"/>
          <w:szCs w:val="22"/>
        </w:rPr>
        <w:t>more</w:t>
      </w:r>
      <w:proofErr w:type="gramEnd"/>
      <w:r w:rsidRPr="00EF4BD5">
        <w:rPr>
          <w:rFonts w:ascii="Times New Roman" w:eastAsia="PMingLiU" w:hAnsi="Times New Roman"/>
          <w:sz w:val="22"/>
          <w:szCs w:val="22"/>
        </w:rPr>
        <w:t xml:space="preserve"> appropriate to the evidence, then substitute </w:t>
      </w:r>
      <w:r w:rsidR="00094834">
        <w:rPr>
          <w:rFonts w:ascii="Times New Roman" w:eastAsia="PMingLiU" w:hAnsi="Times New Roman"/>
          <w:sz w:val="22"/>
          <w:szCs w:val="22"/>
        </w:rPr>
        <w:t>“</w:t>
      </w:r>
      <w:r w:rsidRPr="00EF4BD5">
        <w:rPr>
          <w:rFonts w:ascii="Times New Roman" w:eastAsia="PMingLiU" w:hAnsi="Times New Roman"/>
          <w:sz w:val="22"/>
          <w:szCs w:val="22"/>
        </w:rPr>
        <w:t>operator</w:t>
      </w:r>
      <w:r w:rsidR="00094834">
        <w:rPr>
          <w:rFonts w:ascii="Times New Roman" w:eastAsia="PMingLiU" w:hAnsi="Times New Roman"/>
          <w:sz w:val="22"/>
          <w:szCs w:val="22"/>
        </w:rPr>
        <w:t>”</w:t>
      </w:r>
      <w:r w:rsidRPr="00EF4BD5">
        <w:rPr>
          <w:rFonts w:ascii="Times New Roman" w:eastAsia="PMingLiU" w:hAnsi="Times New Roman"/>
          <w:sz w:val="22"/>
          <w:szCs w:val="22"/>
        </w:rPr>
        <w:t xml:space="preserve"> for </w:t>
      </w:r>
      <w:r w:rsidR="00094834">
        <w:rPr>
          <w:rFonts w:ascii="Times New Roman" w:eastAsia="PMingLiU" w:hAnsi="Times New Roman"/>
          <w:sz w:val="22"/>
          <w:szCs w:val="22"/>
        </w:rPr>
        <w:t>“</w:t>
      </w:r>
      <w:r w:rsidRPr="00EF4BD5">
        <w:rPr>
          <w:rFonts w:ascii="Times New Roman" w:eastAsia="PMingLiU" w:hAnsi="Times New Roman"/>
          <w:sz w:val="22"/>
          <w:szCs w:val="22"/>
        </w:rPr>
        <w:t>driver.</w:t>
      </w:r>
      <w:r w:rsidR="00094834">
        <w:rPr>
          <w:rFonts w:ascii="Times New Roman" w:eastAsia="PMingLiU" w:hAnsi="Times New Roman"/>
          <w:sz w:val="22"/>
          <w:szCs w:val="22"/>
        </w:rPr>
        <w:t>”</w:t>
      </w:r>
    </w:p>
    <w:p w:rsidR="00A3328F" w:rsidRPr="00EF4BD5" w:rsidRDefault="00A3328F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PMingLiU" w:hAnsi="Times New Roman"/>
          <w:sz w:val="22"/>
          <w:szCs w:val="22"/>
        </w:rPr>
      </w:pPr>
    </w:p>
    <w:p w:rsidR="00A3328F" w:rsidRPr="00EF4BD5" w:rsidRDefault="00A3328F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rFonts w:ascii="Times New Roman" w:eastAsia="PMingLiU" w:hAnsi="Times New Roman"/>
          <w:sz w:val="22"/>
          <w:szCs w:val="22"/>
        </w:rPr>
      </w:pPr>
      <w:r w:rsidRPr="00EF4BD5">
        <w:rPr>
          <w:rFonts w:ascii="Times New Roman" w:eastAsia="PMingLiU" w:hAnsi="Times New Roman"/>
          <w:sz w:val="22"/>
          <w:szCs w:val="22"/>
        </w:rPr>
        <w:t xml:space="preserve">As to calculation as a part of </w:t>
      </w:r>
      <w:r w:rsidRPr="00EF4BD5">
        <w:rPr>
          <w:rFonts w:ascii="Times New Roman" w:eastAsia="PMingLiU" w:hAnsi="Times New Roman"/>
          <w:sz w:val="22"/>
          <w:szCs w:val="22"/>
          <w:u w:val="single"/>
        </w:rPr>
        <w:t>lookout</w:t>
      </w:r>
      <w:r w:rsidRPr="00EF4BD5">
        <w:rPr>
          <w:rFonts w:ascii="Times New Roman" w:eastAsia="PMingLiU" w:hAnsi="Times New Roman"/>
          <w:sz w:val="22"/>
          <w:szCs w:val="22"/>
        </w:rPr>
        <w:t xml:space="preserve">, see </w:t>
      </w:r>
      <w:proofErr w:type="spellStart"/>
      <w:r w:rsidRPr="00EF4BD5">
        <w:rPr>
          <w:rFonts w:ascii="Times New Roman" w:eastAsia="PMingLiU" w:hAnsi="Times New Roman"/>
          <w:sz w:val="22"/>
          <w:szCs w:val="22"/>
          <w:u w:val="single"/>
        </w:rPr>
        <w:t>Plog</w:t>
      </w:r>
      <w:proofErr w:type="spellEnd"/>
      <w:r w:rsidRPr="00EF4BD5">
        <w:rPr>
          <w:rFonts w:ascii="Times New Roman" w:eastAsia="PMingLiU" w:hAnsi="Times New Roman"/>
          <w:sz w:val="22"/>
          <w:szCs w:val="22"/>
          <w:u w:val="single"/>
        </w:rPr>
        <w:t xml:space="preserve"> v. </w:t>
      </w:r>
      <w:proofErr w:type="spellStart"/>
      <w:r w:rsidRPr="00EF4BD5">
        <w:rPr>
          <w:rFonts w:ascii="Times New Roman" w:eastAsia="PMingLiU" w:hAnsi="Times New Roman"/>
          <w:sz w:val="22"/>
          <w:szCs w:val="22"/>
          <w:u w:val="single"/>
        </w:rPr>
        <w:t>Zolper</w:t>
      </w:r>
      <w:proofErr w:type="spellEnd"/>
      <w:r w:rsidRPr="00EF4BD5">
        <w:rPr>
          <w:rFonts w:ascii="Times New Roman" w:eastAsia="PMingLiU" w:hAnsi="Times New Roman"/>
          <w:sz w:val="22"/>
          <w:szCs w:val="22"/>
        </w:rPr>
        <w:t xml:space="preserve">, 1 Wis.2d 517, 527, 85 N.W.2d 492, 498 (1957); </w:t>
      </w:r>
      <w:r w:rsidRPr="00EF4BD5">
        <w:rPr>
          <w:rFonts w:ascii="Times New Roman" w:eastAsia="PMingLiU" w:hAnsi="Times New Roman"/>
          <w:sz w:val="22"/>
          <w:szCs w:val="22"/>
          <w:u w:val="single"/>
        </w:rPr>
        <w:t xml:space="preserve">Gleason v. </w:t>
      </w:r>
      <w:proofErr w:type="spellStart"/>
      <w:r w:rsidRPr="00EF4BD5">
        <w:rPr>
          <w:rFonts w:ascii="Times New Roman" w:eastAsia="PMingLiU" w:hAnsi="Times New Roman"/>
          <w:sz w:val="22"/>
          <w:szCs w:val="22"/>
          <w:u w:val="single"/>
        </w:rPr>
        <w:t>Gillihan</w:t>
      </w:r>
      <w:proofErr w:type="spellEnd"/>
      <w:r w:rsidRPr="00EF4BD5">
        <w:rPr>
          <w:rFonts w:ascii="Times New Roman" w:eastAsia="PMingLiU" w:hAnsi="Times New Roman"/>
          <w:sz w:val="22"/>
          <w:szCs w:val="22"/>
        </w:rPr>
        <w:t xml:space="preserve">, 32 Wis.2d 50, 145 N.W.2d 90 (1966); </w:t>
      </w:r>
      <w:r w:rsidRPr="00EF4BD5">
        <w:rPr>
          <w:rFonts w:ascii="Times New Roman" w:eastAsia="PMingLiU" w:hAnsi="Times New Roman"/>
          <w:sz w:val="22"/>
          <w:szCs w:val="22"/>
          <w:u w:val="single"/>
        </w:rPr>
        <w:t xml:space="preserve">Ogle v. </w:t>
      </w:r>
      <w:proofErr w:type="spellStart"/>
      <w:r w:rsidRPr="00EF4BD5">
        <w:rPr>
          <w:rFonts w:ascii="Times New Roman" w:eastAsia="PMingLiU" w:hAnsi="Times New Roman"/>
          <w:sz w:val="22"/>
          <w:szCs w:val="22"/>
          <w:u w:val="single"/>
        </w:rPr>
        <w:t>Avina</w:t>
      </w:r>
      <w:proofErr w:type="spellEnd"/>
      <w:r w:rsidRPr="00EF4BD5">
        <w:rPr>
          <w:rFonts w:ascii="Times New Roman" w:eastAsia="PMingLiU" w:hAnsi="Times New Roman"/>
          <w:sz w:val="22"/>
          <w:szCs w:val="22"/>
        </w:rPr>
        <w:t xml:space="preserve">, 33 Wis.2d 125, 146 N.W.2d 422 (1966); </w:t>
      </w:r>
      <w:r w:rsidRPr="00EF4BD5">
        <w:rPr>
          <w:rFonts w:ascii="Times New Roman" w:eastAsia="PMingLiU" w:hAnsi="Times New Roman"/>
          <w:sz w:val="22"/>
          <w:szCs w:val="22"/>
          <w:u w:val="single"/>
        </w:rPr>
        <w:t xml:space="preserve">Slattery v. </w:t>
      </w:r>
      <w:proofErr w:type="spellStart"/>
      <w:r w:rsidRPr="00EF4BD5">
        <w:rPr>
          <w:rFonts w:ascii="Times New Roman" w:eastAsia="PMingLiU" w:hAnsi="Times New Roman"/>
          <w:sz w:val="22"/>
          <w:szCs w:val="22"/>
          <w:u w:val="single"/>
        </w:rPr>
        <w:t>Lofy</w:t>
      </w:r>
      <w:proofErr w:type="spellEnd"/>
      <w:r w:rsidRPr="00EF4BD5">
        <w:rPr>
          <w:rFonts w:ascii="Times New Roman" w:eastAsia="PMingLiU" w:hAnsi="Times New Roman"/>
          <w:sz w:val="22"/>
          <w:szCs w:val="22"/>
        </w:rPr>
        <w:t>, 45 Wis.2d 155, 172 N.W.2d 341 (1969).</w:t>
      </w:r>
    </w:p>
    <w:p w:rsidR="00A3328F" w:rsidRPr="00EF4BD5" w:rsidRDefault="00A3328F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PMingLiU" w:hAnsi="Times New Roman"/>
          <w:sz w:val="22"/>
          <w:szCs w:val="22"/>
        </w:rPr>
      </w:pPr>
    </w:p>
    <w:p w:rsidR="00A3328F" w:rsidRPr="00EF4BD5" w:rsidRDefault="00A3328F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rFonts w:ascii="Times New Roman" w:eastAsia="PMingLiU" w:hAnsi="Times New Roman"/>
          <w:sz w:val="22"/>
          <w:szCs w:val="22"/>
        </w:rPr>
      </w:pPr>
      <w:r w:rsidRPr="00EF4BD5">
        <w:rPr>
          <w:rFonts w:ascii="Times New Roman" w:eastAsia="PMingLiU" w:hAnsi="Times New Roman"/>
          <w:sz w:val="22"/>
          <w:szCs w:val="22"/>
        </w:rPr>
        <w:t xml:space="preserve">In </w:t>
      </w:r>
      <w:r w:rsidRPr="00EF4BD5">
        <w:rPr>
          <w:rFonts w:ascii="Times New Roman" w:eastAsia="PMingLiU" w:hAnsi="Times New Roman"/>
          <w:sz w:val="22"/>
          <w:szCs w:val="22"/>
          <w:u w:val="single"/>
        </w:rPr>
        <w:t xml:space="preserve">Slattery v. </w:t>
      </w:r>
      <w:proofErr w:type="spellStart"/>
      <w:r w:rsidRPr="00EF4BD5">
        <w:rPr>
          <w:rFonts w:ascii="Times New Roman" w:eastAsia="PMingLiU" w:hAnsi="Times New Roman"/>
          <w:sz w:val="22"/>
          <w:szCs w:val="22"/>
          <w:u w:val="single"/>
        </w:rPr>
        <w:t>Lofy</w:t>
      </w:r>
      <w:proofErr w:type="spellEnd"/>
      <w:r w:rsidRPr="00EF4BD5">
        <w:rPr>
          <w:rFonts w:ascii="Times New Roman" w:eastAsia="PMingLiU" w:hAnsi="Times New Roman"/>
          <w:sz w:val="22"/>
          <w:szCs w:val="22"/>
        </w:rPr>
        <w:t xml:space="preserve">, </w:t>
      </w:r>
      <w:r w:rsidRPr="00EF4BD5">
        <w:rPr>
          <w:rFonts w:ascii="Times New Roman" w:eastAsia="PMingLiU" w:hAnsi="Times New Roman"/>
          <w:sz w:val="22"/>
          <w:szCs w:val="22"/>
          <w:u w:val="single"/>
        </w:rPr>
        <w:t>supra</w:t>
      </w:r>
      <w:r w:rsidRPr="00EF4BD5">
        <w:rPr>
          <w:rFonts w:ascii="Times New Roman" w:eastAsia="PMingLiU" w:hAnsi="Times New Roman"/>
          <w:sz w:val="22"/>
          <w:szCs w:val="22"/>
        </w:rPr>
        <w:t>, the court stated:</w:t>
      </w:r>
    </w:p>
    <w:p w:rsidR="00A3328F" w:rsidRPr="00EF4BD5" w:rsidRDefault="00A3328F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PMingLiU" w:hAnsi="Times New Roman"/>
          <w:sz w:val="22"/>
          <w:szCs w:val="22"/>
        </w:rPr>
      </w:pPr>
    </w:p>
    <w:p w:rsidR="00A3328F" w:rsidRPr="00EF4BD5" w:rsidRDefault="00A3328F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right="720"/>
        <w:jc w:val="both"/>
        <w:rPr>
          <w:rFonts w:ascii="Times New Roman" w:eastAsia="PMingLiU" w:hAnsi="Times New Roman"/>
          <w:sz w:val="22"/>
          <w:szCs w:val="22"/>
        </w:rPr>
      </w:pPr>
      <w:proofErr w:type="gramStart"/>
      <w:r w:rsidRPr="00EF4BD5">
        <w:rPr>
          <w:rFonts w:ascii="Times New Roman" w:eastAsia="PMingLiU" w:hAnsi="Times New Roman"/>
          <w:sz w:val="22"/>
          <w:szCs w:val="22"/>
        </w:rPr>
        <w:t>The rule that a driver before entering an arterial highway must not only exercise a proper lookout but also must make a reasonable judgment or calculation as to the time it will take to enter and reach a proper position on the highway was inapplicable where the evidence established that the overtaking driver had reached a proper place on the highway more than 400 feet beyond the point he had entered.</w:t>
      </w:r>
      <w:proofErr w:type="gramEnd"/>
      <w:r w:rsidR="00EF4BD5">
        <w:rPr>
          <w:rFonts w:ascii="Times New Roman" w:eastAsia="PMingLiU" w:hAnsi="Times New Roman"/>
          <w:sz w:val="22"/>
          <w:szCs w:val="22"/>
        </w:rPr>
        <w:t xml:space="preserve"> </w:t>
      </w:r>
      <w:proofErr w:type="gramStart"/>
      <w:r w:rsidRPr="00EF4BD5">
        <w:rPr>
          <w:rFonts w:ascii="Times New Roman" w:eastAsia="PMingLiU" w:hAnsi="Times New Roman"/>
          <w:sz w:val="22"/>
          <w:szCs w:val="22"/>
        </w:rPr>
        <w:t>45</w:t>
      </w:r>
      <w:proofErr w:type="gramEnd"/>
      <w:r w:rsidRPr="00EF4BD5">
        <w:rPr>
          <w:rFonts w:ascii="Times New Roman" w:eastAsia="PMingLiU" w:hAnsi="Times New Roman"/>
          <w:sz w:val="22"/>
          <w:szCs w:val="22"/>
        </w:rPr>
        <w:t xml:space="preserve"> Wis.2d at 159.</w:t>
      </w:r>
    </w:p>
    <w:sectPr w:rsidR="00A3328F" w:rsidRPr="00EF4BD5" w:rsidSect="00A3328F">
      <w:headerReference w:type="default" r:id="rId6"/>
      <w:footerReference w:type="default" r:id="rId7"/>
      <w:pgSz w:w="12240" w:h="15840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E1E" w:rsidRDefault="00653E1E" w:rsidP="00A3328F">
      <w:r>
        <w:separator/>
      </w:r>
    </w:p>
  </w:endnote>
  <w:endnote w:type="continuationSeparator" w:id="0">
    <w:p w:rsidR="00653E1E" w:rsidRDefault="00653E1E" w:rsidP="00A33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BD5" w:rsidRDefault="00EF4BD5" w:rsidP="00EF4BD5">
    <w:pPr>
      <w:pStyle w:val="Footer"/>
      <w:rPr>
        <w:rFonts w:ascii="Arial" w:hAnsi="Arial"/>
        <w:sz w:val="20"/>
      </w:rPr>
    </w:pPr>
    <w:r>
      <w:rPr>
        <w:rFonts w:ascii="Arial" w:hAnsi="Arial" w:cs="Arial"/>
        <w:sz w:val="20"/>
      </w:rPr>
      <w:t>©2008</w:t>
    </w:r>
    <w:r>
      <w:rPr>
        <w:rFonts w:ascii="Arial" w:hAnsi="Arial"/>
        <w:sz w:val="20"/>
      </w:rPr>
      <w:t>, Regents, Univ. of Wis.</w:t>
    </w:r>
  </w:p>
  <w:p w:rsidR="00A3328F" w:rsidRPr="00EF4BD5" w:rsidRDefault="00EF4BD5" w:rsidP="00EF4BD5">
    <w:pPr>
      <w:pStyle w:val="Footer"/>
      <w:jc w:val="center"/>
      <w:rPr>
        <w:rFonts w:ascii="Arial" w:eastAsia="PMingLiU" w:hAnsi="Arial"/>
        <w:sz w:val="20"/>
      </w:rPr>
    </w:pP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 PAGE   \* MERGEFORMAT </w:instrText>
    </w:r>
    <w:r>
      <w:rPr>
        <w:rFonts w:ascii="Arial" w:hAnsi="Arial"/>
        <w:sz w:val="20"/>
      </w:rPr>
      <w:fldChar w:fldCharType="separate"/>
    </w:r>
    <w:r w:rsidR="00451FCB">
      <w:rPr>
        <w:rFonts w:ascii="Arial" w:hAnsi="Arial"/>
        <w:noProof/>
        <w:sz w:val="20"/>
      </w:rPr>
      <w:t>1</w:t>
    </w:r>
    <w:r>
      <w:rPr>
        <w:rFonts w:ascii="Arial" w:hAnsi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E1E" w:rsidRDefault="00653E1E" w:rsidP="00A3328F">
      <w:r>
        <w:separator/>
      </w:r>
    </w:p>
  </w:footnote>
  <w:footnote w:type="continuationSeparator" w:id="0">
    <w:p w:rsidR="00653E1E" w:rsidRDefault="00653E1E" w:rsidP="00A33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28F" w:rsidRDefault="00A3328F">
    <w:pPr>
      <w:jc w:val="both"/>
      <w:rPr>
        <w:rFonts w:ascii="Arial" w:hAnsi="Arial" w:cs="Arial"/>
        <w:sz w:val="28"/>
        <w:szCs w:val="28"/>
      </w:rPr>
    </w:pPr>
  </w:p>
  <w:p w:rsidR="00A3328F" w:rsidRDefault="00A3328F">
    <w:pPr>
      <w:tabs>
        <w:tab w:val="center" w:pos="4680"/>
        <w:tab w:val="right" w:pos="9360"/>
      </w:tabs>
      <w:jc w:val="both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1060</w:t>
    </w:r>
    <w:r>
      <w:rPr>
        <w:rFonts w:ascii="Arial" w:hAnsi="Arial" w:cs="Arial"/>
        <w:b/>
        <w:bCs/>
        <w:sz w:val="28"/>
        <w:szCs w:val="28"/>
      </w:rPr>
      <w:tab/>
      <w:t>WIS JI-CIVIL</w:t>
    </w:r>
    <w:r>
      <w:rPr>
        <w:rFonts w:ascii="Arial" w:hAnsi="Arial" w:cs="Arial"/>
        <w:b/>
        <w:bCs/>
        <w:sz w:val="28"/>
        <w:szCs w:val="28"/>
      </w:rPr>
      <w:tab/>
      <w:t>1060</w:t>
    </w:r>
  </w:p>
  <w:p w:rsidR="00A3328F" w:rsidRDefault="00A3328F">
    <w:pPr>
      <w:jc w:val="both"/>
      <w:rPr>
        <w:rFonts w:ascii="Arial" w:hAnsi="Arial" w:cs="Arial"/>
        <w:sz w:val="28"/>
        <w:szCs w:val="28"/>
      </w:rPr>
    </w:pPr>
  </w:p>
  <w:p w:rsidR="00A3328F" w:rsidRDefault="00A3328F">
    <w:pPr>
      <w:jc w:val="both"/>
      <w:rPr>
        <w:rFonts w:ascii="Arial" w:hAnsi="Arial" w:cs="Arial"/>
        <w:sz w:val="28"/>
        <w:szCs w:val="28"/>
      </w:rPr>
    </w:pPr>
  </w:p>
  <w:p w:rsidR="00A3328F" w:rsidRDefault="00A3328F">
    <w:pPr>
      <w:spacing w:line="240" w:lineRule="exact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28F"/>
    <w:rsid w:val="00094834"/>
    <w:rsid w:val="002D1D98"/>
    <w:rsid w:val="00451FCB"/>
    <w:rsid w:val="00653E1E"/>
    <w:rsid w:val="007C2550"/>
    <w:rsid w:val="00870720"/>
    <w:rsid w:val="00A11EFA"/>
    <w:rsid w:val="00A3328F"/>
    <w:rsid w:val="00EF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5F2C5A1"/>
  <w14:defaultImageDpi w14:val="0"/>
  <w15:docId w15:val="{06DD7524-E89B-4654-8A5A-8F699714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nstantia" w:hAnsi="Constant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FootA">
    <w:name w:val="Foot A"/>
    <w:uiPriority w:val="99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F4BD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F4BD5"/>
    <w:rPr>
      <w:rFonts w:ascii="Constantia" w:hAnsi="Constant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4BD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F4BD5"/>
    <w:rPr>
      <w:rFonts w:ascii="Constantia" w:hAnsi="Constant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Smith</dc:creator>
  <cp:keywords/>
  <dc:description/>
  <cp:lastModifiedBy>Bryce Pierson</cp:lastModifiedBy>
  <cp:revision>2</cp:revision>
  <dcterms:created xsi:type="dcterms:W3CDTF">2021-12-14T18:39:00Z</dcterms:created>
  <dcterms:modified xsi:type="dcterms:W3CDTF">2021-12-14T18:39:00Z</dcterms:modified>
</cp:coreProperties>
</file>