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E7805" w14:textId="6DBE4E1F" w:rsidR="00E6343C" w:rsidRPr="00554F34" w:rsidRDefault="00E6343C" w:rsidP="00E6343C">
      <w:pPr>
        <w:pStyle w:val="NoSpacing"/>
        <w:jc w:val="both"/>
        <w:rPr>
          <w:rFonts w:ascii="Times New Roman" w:hAnsi="Times New Roman" w:cs="Times New Roman"/>
          <w:b/>
          <w:bCs/>
          <w:sz w:val="26"/>
          <w:szCs w:val="26"/>
        </w:rPr>
      </w:pPr>
      <w:r w:rsidRPr="00554F34">
        <w:rPr>
          <w:rFonts w:ascii="Times New Roman" w:hAnsi="Times New Roman" w:cs="Times New Roman"/>
          <w:b/>
          <w:bCs/>
          <w:sz w:val="26"/>
          <w:szCs w:val="26"/>
        </w:rPr>
        <w:t>1910</w:t>
      </w:r>
      <w:r w:rsidRPr="00554F34">
        <w:rPr>
          <w:rFonts w:ascii="Times New Roman" w:hAnsi="Times New Roman" w:cs="Times New Roman"/>
          <w:b/>
          <w:bCs/>
          <w:sz w:val="26"/>
          <w:szCs w:val="26"/>
        </w:rPr>
        <w:tab/>
        <w:t>SAFE</w:t>
      </w:r>
      <w:r w:rsidR="00F70F33" w:rsidRPr="00554F34">
        <w:rPr>
          <w:rFonts w:ascii="Times New Roman" w:hAnsi="Times New Roman" w:cs="Times New Roman"/>
          <w:b/>
          <w:bCs/>
          <w:sz w:val="26"/>
          <w:szCs w:val="26"/>
        </w:rPr>
        <w:t xml:space="preserve"> </w:t>
      </w:r>
      <w:r w:rsidRPr="00554F34">
        <w:rPr>
          <w:rFonts w:ascii="Times New Roman" w:hAnsi="Times New Roman" w:cs="Times New Roman"/>
          <w:b/>
          <w:bCs/>
          <w:sz w:val="26"/>
          <w:szCs w:val="26"/>
        </w:rPr>
        <w:t>PLACE STATUTE: PLACE OF EMPLOYMENT: BUSINESS</w:t>
      </w:r>
    </w:p>
    <w:p w14:paraId="55AF3A7F" w14:textId="222CB299" w:rsidR="00E6343C" w:rsidRPr="00554F34" w:rsidRDefault="00E6343C" w:rsidP="00E6343C">
      <w:pPr>
        <w:pStyle w:val="NoSpacing"/>
        <w:jc w:val="both"/>
        <w:rPr>
          <w:rFonts w:ascii="Times New Roman" w:hAnsi="Times New Roman" w:cs="Times New Roman"/>
          <w:sz w:val="26"/>
          <w:szCs w:val="26"/>
        </w:rPr>
      </w:pPr>
    </w:p>
    <w:p w14:paraId="27CC6DD4" w14:textId="77777777" w:rsidR="00E6343C" w:rsidRPr="00554F34" w:rsidRDefault="00E6343C" w:rsidP="00E6343C">
      <w:pPr>
        <w:pStyle w:val="NoSpacing"/>
        <w:jc w:val="both"/>
        <w:rPr>
          <w:rFonts w:ascii="Times New Roman" w:hAnsi="Times New Roman" w:cs="Times New Roman"/>
          <w:sz w:val="26"/>
          <w:szCs w:val="26"/>
        </w:rPr>
      </w:pPr>
    </w:p>
    <w:p w14:paraId="0F440A02" w14:textId="2E42C79A" w:rsidR="007B7BE1" w:rsidRPr="00554F34" w:rsidRDefault="00E6343C" w:rsidP="00554F34">
      <w:pPr>
        <w:pStyle w:val="NoSpacing"/>
        <w:spacing w:line="480" w:lineRule="auto"/>
        <w:ind w:firstLine="450"/>
        <w:jc w:val="both"/>
        <w:rPr>
          <w:rFonts w:ascii="Times New Roman" w:hAnsi="Times New Roman" w:cs="Times New Roman"/>
          <w:sz w:val="26"/>
          <w:szCs w:val="26"/>
        </w:rPr>
      </w:pPr>
      <w:r w:rsidRPr="00554F34">
        <w:rPr>
          <w:rFonts w:ascii="Times New Roman" w:hAnsi="Times New Roman" w:cs="Times New Roman"/>
          <w:sz w:val="26"/>
          <w:szCs w:val="26"/>
        </w:rPr>
        <w:t xml:space="preserve">To be a place of employment, two things </w:t>
      </w:r>
      <w:r w:rsidR="00F70F33" w:rsidRPr="00554F34">
        <w:rPr>
          <w:rFonts w:ascii="Times New Roman" w:hAnsi="Times New Roman" w:cs="Times New Roman"/>
          <w:sz w:val="26"/>
          <w:szCs w:val="26"/>
        </w:rPr>
        <w:t>are required</w:t>
      </w:r>
      <w:r w:rsidR="00380B10">
        <w:rPr>
          <w:rFonts w:ascii="Times New Roman" w:hAnsi="Times New Roman" w:cs="Times New Roman"/>
          <w:sz w:val="26"/>
          <w:szCs w:val="26"/>
        </w:rPr>
        <w:t>:</w:t>
      </w:r>
      <w:r w:rsidR="00FF19B9" w:rsidRPr="00554F34">
        <w:rPr>
          <w:rStyle w:val="EndnoteReference"/>
          <w:rFonts w:ascii="Times New Roman" w:hAnsi="Times New Roman" w:cs="Times New Roman"/>
          <w:sz w:val="26"/>
          <w:szCs w:val="26"/>
        </w:rPr>
        <w:endnoteReference w:id="1"/>
      </w:r>
    </w:p>
    <w:p w14:paraId="5E42CB64" w14:textId="3EDBB199" w:rsidR="007B7BE1" w:rsidRPr="00554F34" w:rsidRDefault="00E6343C" w:rsidP="007B7BE1">
      <w:pPr>
        <w:pStyle w:val="NoSpacing"/>
        <w:spacing w:line="480" w:lineRule="auto"/>
        <w:ind w:firstLine="450"/>
        <w:jc w:val="both"/>
        <w:rPr>
          <w:rFonts w:ascii="Times New Roman" w:hAnsi="Times New Roman" w:cs="Times New Roman"/>
          <w:sz w:val="26"/>
          <w:szCs w:val="26"/>
        </w:rPr>
      </w:pPr>
      <w:r w:rsidRPr="00554F34">
        <w:rPr>
          <w:rFonts w:ascii="Times New Roman" w:hAnsi="Times New Roman" w:cs="Times New Roman"/>
          <w:sz w:val="26"/>
          <w:szCs w:val="26"/>
        </w:rPr>
        <w:t>First, a place where industry, trade, or business is carried on</w:t>
      </w:r>
      <w:r w:rsidR="007B7BE1" w:rsidRPr="00554F34">
        <w:rPr>
          <w:rFonts w:ascii="Times New Roman" w:hAnsi="Times New Roman" w:cs="Times New Roman"/>
          <w:sz w:val="26"/>
          <w:szCs w:val="26"/>
        </w:rPr>
        <w:t>, or where any process or operation directly or indirectly related to any such trade or business is carried on;</w:t>
      </w:r>
      <w:r w:rsidR="00507F91">
        <w:rPr>
          <w:rFonts w:ascii="Times New Roman" w:hAnsi="Times New Roman" w:cs="Times New Roman"/>
          <w:sz w:val="26"/>
          <w:szCs w:val="26"/>
        </w:rPr>
        <w:t xml:space="preserve"> and</w:t>
      </w:r>
    </w:p>
    <w:p w14:paraId="53F87AFA" w14:textId="63C56E67" w:rsidR="00DD7D05" w:rsidRPr="00554F34" w:rsidRDefault="00507F91" w:rsidP="00DD7D05">
      <w:pPr>
        <w:pStyle w:val="NoSpacing"/>
        <w:spacing w:line="480" w:lineRule="auto"/>
        <w:ind w:firstLine="450"/>
        <w:jc w:val="both"/>
        <w:rPr>
          <w:rFonts w:ascii="Times New Roman" w:hAnsi="Times New Roman" w:cs="Times New Roman"/>
          <w:strike/>
          <w:sz w:val="26"/>
          <w:szCs w:val="26"/>
        </w:rPr>
      </w:pPr>
      <w:r>
        <w:rPr>
          <w:rFonts w:ascii="Times New Roman" w:hAnsi="Times New Roman" w:cs="Times New Roman"/>
          <w:sz w:val="26"/>
          <w:szCs w:val="26"/>
        </w:rPr>
        <w:t>s</w:t>
      </w:r>
      <w:r w:rsidR="00DD7D05" w:rsidRPr="00554F34">
        <w:rPr>
          <w:rFonts w:ascii="Times New Roman" w:hAnsi="Times New Roman" w:cs="Times New Roman"/>
          <w:sz w:val="26"/>
          <w:szCs w:val="26"/>
        </w:rPr>
        <w:t xml:space="preserve">econd, employment of a person by another for </w:t>
      </w:r>
      <w:r w:rsidR="00F70F33" w:rsidRPr="00554F34">
        <w:rPr>
          <w:rFonts w:ascii="Times New Roman" w:hAnsi="Times New Roman" w:cs="Times New Roman"/>
          <w:sz w:val="26"/>
          <w:szCs w:val="26"/>
        </w:rPr>
        <w:t xml:space="preserve">direct or indirect </w:t>
      </w:r>
      <w:r w:rsidR="00DD7D05" w:rsidRPr="00554F34">
        <w:rPr>
          <w:rFonts w:ascii="Times New Roman" w:hAnsi="Times New Roman" w:cs="Times New Roman"/>
          <w:sz w:val="26"/>
          <w:szCs w:val="26"/>
        </w:rPr>
        <w:t>gain or profit.</w:t>
      </w:r>
    </w:p>
    <w:p w14:paraId="4A1FF3E1" w14:textId="282F5FE4" w:rsidR="00E6343C" w:rsidRPr="00554F34" w:rsidRDefault="00E6343C" w:rsidP="00955EE2">
      <w:pPr>
        <w:pStyle w:val="NoSpacing"/>
        <w:spacing w:line="480" w:lineRule="auto"/>
        <w:ind w:firstLine="450"/>
        <w:jc w:val="both"/>
        <w:rPr>
          <w:rFonts w:ascii="Times New Roman" w:hAnsi="Times New Roman" w:cs="Times New Roman"/>
          <w:sz w:val="26"/>
          <w:szCs w:val="26"/>
        </w:rPr>
      </w:pPr>
      <w:r w:rsidRPr="00554F34">
        <w:rPr>
          <w:rFonts w:ascii="Times New Roman" w:hAnsi="Times New Roman" w:cs="Times New Roman"/>
          <w:sz w:val="26"/>
          <w:szCs w:val="26"/>
        </w:rPr>
        <w:t>The ownership of a (parking lot) (apartment building) (house), and the keeping of the same in repair and renting, does not in and of itself constitute a business; but such transactions may amount to a business within the meaning of the statute if they are carried on to such extent as to require a substantial and habitual application of time and labor in the management and operation of the same.</w:t>
      </w:r>
    </w:p>
    <w:p w14:paraId="41119846" w14:textId="47BC35E0" w:rsidR="00E6343C" w:rsidRPr="00554F34" w:rsidRDefault="00E6343C" w:rsidP="00E6343C">
      <w:pPr>
        <w:pStyle w:val="NoSpacing"/>
        <w:jc w:val="both"/>
        <w:rPr>
          <w:rFonts w:ascii="Times New Roman" w:hAnsi="Times New Roman" w:cs="Times New Roman"/>
          <w:sz w:val="26"/>
          <w:szCs w:val="26"/>
        </w:rPr>
      </w:pPr>
    </w:p>
    <w:p w14:paraId="33686F92" w14:textId="3A114A72" w:rsidR="00E6343C" w:rsidRPr="00554F34" w:rsidRDefault="00E6343C" w:rsidP="00E6343C">
      <w:pPr>
        <w:pStyle w:val="NoSpacing"/>
        <w:jc w:val="both"/>
        <w:rPr>
          <w:rFonts w:ascii="Times New Roman" w:hAnsi="Times New Roman" w:cs="Times New Roman"/>
          <w:sz w:val="26"/>
          <w:szCs w:val="26"/>
        </w:rPr>
      </w:pPr>
    </w:p>
    <w:p w14:paraId="4461CE42" w14:textId="77777777" w:rsidR="00E6343C" w:rsidRPr="00554F34" w:rsidRDefault="00E6343C" w:rsidP="00E6343C">
      <w:pPr>
        <w:pStyle w:val="NoSpacing"/>
        <w:jc w:val="both"/>
        <w:rPr>
          <w:rFonts w:ascii="Times New Roman" w:hAnsi="Times New Roman" w:cs="Times New Roman"/>
          <w:sz w:val="26"/>
          <w:szCs w:val="26"/>
        </w:rPr>
      </w:pPr>
    </w:p>
    <w:p w14:paraId="46DBCD1D" w14:textId="77777777" w:rsidR="00E6343C" w:rsidRPr="00554F34" w:rsidRDefault="00E6343C" w:rsidP="00E6343C">
      <w:pPr>
        <w:pStyle w:val="NoSpacing"/>
        <w:jc w:val="both"/>
        <w:rPr>
          <w:rFonts w:ascii="Times New Roman" w:hAnsi="Times New Roman" w:cs="Times New Roman"/>
          <w:b/>
          <w:bCs/>
        </w:rPr>
      </w:pPr>
      <w:r w:rsidRPr="00554F34">
        <w:rPr>
          <w:rFonts w:ascii="Times New Roman" w:hAnsi="Times New Roman" w:cs="Times New Roman"/>
          <w:b/>
          <w:bCs/>
        </w:rPr>
        <w:t>COMMENT</w:t>
      </w:r>
    </w:p>
    <w:p w14:paraId="7958AB39" w14:textId="77777777" w:rsidR="00E6343C" w:rsidRPr="00554F34" w:rsidRDefault="00E6343C" w:rsidP="00E6343C">
      <w:pPr>
        <w:pStyle w:val="NoSpacing"/>
        <w:jc w:val="both"/>
        <w:rPr>
          <w:rFonts w:ascii="Times New Roman" w:hAnsi="Times New Roman" w:cs="Times New Roman"/>
        </w:rPr>
      </w:pPr>
    </w:p>
    <w:p w14:paraId="59AD93CE" w14:textId="4268BA73" w:rsidR="00E6343C" w:rsidRPr="00554F34" w:rsidRDefault="00E6343C" w:rsidP="00E6343C">
      <w:pPr>
        <w:pStyle w:val="NoSpacing"/>
        <w:ind w:firstLine="450"/>
        <w:jc w:val="both"/>
        <w:rPr>
          <w:rFonts w:ascii="Times New Roman" w:hAnsi="Times New Roman" w:cs="Times New Roman"/>
        </w:rPr>
      </w:pPr>
      <w:r w:rsidRPr="00554F34">
        <w:rPr>
          <w:rFonts w:ascii="Times New Roman" w:hAnsi="Times New Roman" w:cs="Times New Roman"/>
        </w:rPr>
        <w:t xml:space="preserve">The instruction </w:t>
      </w:r>
      <w:r w:rsidR="00612761">
        <w:rPr>
          <w:rFonts w:ascii="Times New Roman" w:hAnsi="Times New Roman" w:cs="Times New Roman"/>
        </w:rPr>
        <w:t xml:space="preserve">was </w:t>
      </w:r>
      <w:r w:rsidRPr="00554F34">
        <w:rPr>
          <w:rFonts w:ascii="Times New Roman" w:hAnsi="Times New Roman" w:cs="Times New Roman"/>
        </w:rPr>
        <w:t xml:space="preserve">approved by the Committee in 1963. </w:t>
      </w:r>
      <w:r w:rsidR="00A63185">
        <w:rPr>
          <w:rFonts w:ascii="Times New Roman" w:hAnsi="Times New Roman" w:cs="Times New Roman"/>
        </w:rPr>
        <w:t xml:space="preserve">It </w:t>
      </w:r>
      <w:r w:rsidRPr="00554F34">
        <w:rPr>
          <w:rFonts w:ascii="Times New Roman" w:hAnsi="Times New Roman" w:cs="Times New Roman"/>
        </w:rPr>
        <w:t>was revised in 1986</w:t>
      </w:r>
      <w:r w:rsidR="00A63185">
        <w:rPr>
          <w:rFonts w:ascii="Times New Roman" w:hAnsi="Times New Roman" w:cs="Times New Roman"/>
        </w:rPr>
        <w:t xml:space="preserve"> and </w:t>
      </w:r>
      <w:r w:rsidRPr="00554F34">
        <w:rPr>
          <w:rFonts w:ascii="Times New Roman" w:hAnsi="Times New Roman" w:cs="Times New Roman"/>
        </w:rPr>
        <w:t>1990.</w:t>
      </w:r>
      <w:r w:rsidR="00A63185">
        <w:rPr>
          <w:rFonts w:ascii="Times New Roman" w:hAnsi="Times New Roman" w:cs="Times New Roman"/>
        </w:rPr>
        <w:t xml:space="preserve"> This revision was approved by the Committee in May 2026.</w:t>
      </w:r>
    </w:p>
    <w:p w14:paraId="730C2777" w14:textId="77777777" w:rsidR="00E6343C" w:rsidRPr="00554F34" w:rsidRDefault="00E6343C" w:rsidP="00E6343C">
      <w:pPr>
        <w:pStyle w:val="NoSpacing"/>
        <w:jc w:val="both"/>
        <w:rPr>
          <w:rFonts w:ascii="Times New Roman" w:hAnsi="Times New Roman" w:cs="Times New Roman"/>
        </w:rPr>
      </w:pPr>
    </w:p>
    <w:p w14:paraId="4AF85ED2" w14:textId="7E8C8804" w:rsidR="006C56C8" w:rsidRPr="00554F34" w:rsidRDefault="006C56C8" w:rsidP="006C56C8">
      <w:pPr>
        <w:pStyle w:val="NoSpacing"/>
        <w:ind w:firstLine="450"/>
        <w:jc w:val="both"/>
        <w:rPr>
          <w:rFonts w:ascii="Times New Roman" w:hAnsi="Times New Roman" w:cs="Times New Roman"/>
        </w:rPr>
      </w:pPr>
      <w:r w:rsidRPr="00554F34">
        <w:rPr>
          <w:rFonts w:ascii="Times New Roman" w:hAnsi="Times New Roman" w:cs="Times New Roman"/>
          <w:b/>
          <w:bCs/>
        </w:rPr>
        <w:t>Scope and relationship to safe-place duty</w:t>
      </w:r>
      <w:r w:rsidRPr="00554F34">
        <w:rPr>
          <w:rFonts w:ascii="Times New Roman" w:hAnsi="Times New Roman" w:cs="Times New Roman"/>
        </w:rPr>
        <w:t xml:space="preserve">. This instruction addresses only the threshold question whether the defendant’s premises constitute a “place of employment” within the meaning of the safe-place statute. It does not address the substantive duties imposed once that threshold is met. For the duty to construct, repair, and maintain a safe place of employment, see Wis. Stat. § 101.11 and WIS JI–Civil 1911. For owner liability involving employees of independent contractors, see WIS JI–Civil 1911 and the duty-of-control principles discussed in </w:t>
      </w:r>
      <w:r w:rsidRPr="00554F34">
        <w:rPr>
          <w:rFonts w:ascii="Times New Roman" w:hAnsi="Times New Roman" w:cs="Times New Roman"/>
          <w:u w:val="single"/>
        </w:rPr>
        <w:t>Potter v. City of Kenosha</w:t>
      </w:r>
      <w:r w:rsidRPr="00554F34">
        <w:rPr>
          <w:rFonts w:ascii="Times New Roman" w:hAnsi="Times New Roman" w:cs="Times New Roman"/>
        </w:rPr>
        <w:t xml:space="preserve">, 268 Wis. 361, 372, 68 N.W.2d 4 (1955), and </w:t>
      </w:r>
      <w:r w:rsidRPr="00554F34">
        <w:rPr>
          <w:rFonts w:ascii="Times New Roman" w:hAnsi="Times New Roman" w:cs="Times New Roman"/>
          <w:u w:val="single"/>
        </w:rPr>
        <w:t>Estate of Lorbiecki v. Pabst Brewing Co.</w:t>
      </w:r>
      <w:r w:rsidRPr="00554F34">
        <w:rPr>
          <w:rFonts w:ascii="Times New Roman" w:hAnsi="Times New Roman" w:cs="Times New Roman"/>
        </w:rPr>
        <w:t>, 2026 WI 12, ¶¶21–28, 419 Wis.</w:t>
      </w:r>
      <w:r w:rsidR="00EF48E9">
        <w:rPr>
          <w:rFonts w:ascii="Times New Roman" w:hAnsi="Times New Roman" w:cs="Times New Roman"/>
        </w:rPr>
        <w:t xml:space="preserve"> </w:t>
      </w:r>
      <w:r w:rsidRPr="00554F34">
        <w:rPr>
          <w:rFonts w:ascii="Times New Roman" w:hAnsi="Times New Roman" w:cs="Times New Roman"/>
        </w:rPr>
        <w:t xml:space="preserve">2d 755, 33 N.W.3d 800. </w:t>
      </w:r>
    </w:p>
    <w:p w14:paraId="55077BA6" w14:textId="77777777" w:rsidR="006C56C8" w:rsidRPr="00554F34" w:rsidRDefault="006C56C8" w:rsidP="00E6343C">
      <w:pPr>
        <w:pStyle w:val="NoSpacing"/>
        <w:ind w:firstLine="450"/>
        <w:jc w:val="both"/>
        <w:rPr>
          <w:rFonts w:ascii="Times New Roman" w:hAnsi="Times New Roman" w:cs="Times New Roman"/>
        </w:rPr>
      </w:pPr>
    </w:p>
    <w:p w14:paraId="3452F412" w14:textId="5B98460E" w:rsidR="00E6343C" w:rsidRPr="00554F34" w:rsidRDefault="00E6343C" w:rsidP="00E6343C">
      <w:pPr>
        <w:pStyle w:val="NoSpacing"/>
        <w:ind w:firstLine="450"/>
        <w:jc w:val="both"/>
        <w:rPr>
          <w:rFonts w:ascii="Times New Roman" w:hAnsi="Times New Roman" w:cs="Times New Roman"/>
        </w:rPr>
      </w:pPr>
      <w:r w:rsidRPr="00554F34">
        <w:rPr>
          <w:rFonts w:ascii="Times New Roman" w:hAnsi="Times New Roman" w:cs="Times New Roman"/>
        </w:rPr>
        <w:t xml:space="preserve">Wis. Stat. § 101.01(1) (1961); </w:t>
      </w:r>
      <w:r w:rsidRPr="00554F34">
        <w:rPr>
          <w:rFonts w:ascii="Times New Roman" w:hAnsi="Times New Roman" w:cs="Times New Roman"/>
          <w:u w:val="single"/>
        </w:rPr>
        <w:t>Padley v. Lodi</w:t>
      </w:r>
      <w:r w:rsidRPr="00554F34">
        <w:rPr>
          <w:rFonts w:ascii="Times New Roman" w:hAnsi="Times New Roman" w:cs="Times New Roman"/>
        </w:rPr>
        <w:t xml:space="preserve">, 233 Wis. 661, 290 N.W. 136 (1940); </w:t>
      </w:r>
      <w:r w:rsidRPr="00554F34">
        <w:rPr>
          <w:rFonts w:ascii="Times New Roman" w:hAnsi="Times New Roman" w:cs="Times New Roman"/>
          <w:u w:val="single"/>
        </w:rPr>
        <w:t>Cross v. Leuenberger</w:t>
      </w:r>
      <w:r w:rsidRPr="00554F34">
        <w:rPr>
          <w:rFonts w:ascii="Times New Roman" w:hAnsi="Times New Roman" w:cs="Times New Roman"/>
        </w:rPr>
        <w:t xml:space="preserve">, 267 Wis. 232, 65 N.W.2d 35 (1954); </w:t>
      </w:r>
      <w:r w:rsidRPr="00554F34">
        <w:rPr>
          <w:rFonts w:ascii="Times New Roman" w:hAnsi="Times New Roman" w:cs="Times New Roman"/>
          <w:u w:val="single"/>
        </w:rPr>
        <w:t>Frion v. Coren</w:t>
      </w:r>
      <w:r w:rsidRPr="00554F34">
        <w:rPr>
          <w:rFonts w:ascii="Times New Roman" w:hAnsi="Times New Roman" w:cs="Times New Roman"/>
        </w:rPr>
        <w:t>, 13 Wis.</w:t>
      </w:r>
      <w:r w:rsidR="00EF48E9">
        <w:rPr>
          <w:rFonts w:ascii="Times New Roman" w:hAnsi="Times New Roman" w:cs="Times New Roman"/>
        </w:rPr>
        <w:t xml:space="preserve"> </w:t>
      </w:r>
      <w:r w:rsidRPr="00554F34">
        <w:rPr>
          <w:rFonts w:ascii="Times New Roman" w:hAnsi="Times New Roman" w:cs="Times New Roman"/>
        </w:rPr>
        <w:t xml:space="preserve">2d 300, 108 N.W.2d 563 (1960); </w:t>
      </w:r>
      <w:r w:rsidRPr="00554F34">
        <w:rPr>
          <w:rFonts w:ascii="Times New Roman" w:hAnsi="Times New Roman" w:cs="Times New Roman"/>
          <w:u w:val="single"/>
        </w:rPr>
        <w:t>Waldman v. Young Men</w:t>
      </w:r>
      <w:r w:rsidR="006448E2" w:rsidRPr="00554F34">
        <w:rPr>
          <w:rFonts w:ascii="Times New Roman" w:hAnsi="Times New Roman" w:cs="Times New Roman"/>
          <w:u w:val="single"/>
        </w:rPr>
        <w:t>’</w:t>
      </w:r>
      <w:r w:rsidRPr="00554F34">
        <w:rPr>
          <w:rFonts w:ascii="Times New Roman" w:hAnsi="Times New Roman" w:cs="Times New Roman"/>
          <w:u w:val="single"/>
        </w:rPr>
        <w:t>s Christian Ass</w:t>
      </w:r>
      <w:r w:rsidR="006448E2" w:rsidRPr="00554F34">
        <w:rPr>
          <w:rFonts w:ascii="Times New Roman" w:hAnsi="Times New Roman" w:cs="Times New Roman"/>
          <w:u w:val="single"/>
        </w:rPr>
        <w:t>’</w:t>
      </w:r>
      <w:r w:rsidRPr="00554F34">
        <w:rPr>
          <w:rFonts w:ascii="Times New Roman" w:hAnsi="Times New Roman" w:cs="Times New Roman"/>
          <w:u w:val="single"/>
        </w:rPr>
        <w:t>n</w:t>
      </w:r>
      <w:r w:rsidRPr="00554F34">
        <w:rPr>
          <w:rFonts w:ascii="Times New Roman" w:hAnsi="Times New Roman" w:cs="Times New Roman"/>
        </w:rPr>
        <w:t xml:space="preserve">, 227 Wis. 43, 46, 277 N.W. 632 (1938); </w:t>
      </w:r>
      <w:r w:rsidRPr="00554F34">
        <w:rPr>
          <w:rFonts w:ascii="Times New Roman" w:hAnsi="Times New Roman" w:cs="Times New Roman"/>
          <w:u w:val="single"/>
        </w:rPr>
        <w:t>Werner v. Gimbel Bros.</w:t>
      </w:r>
      <w:r w:rsidRPr="00554F34">
        <w:rPr>
          <w:rFonts w:ascii="Times New Roman" w:hAnsi="Times New Roman" w:cs="Times New Roman"/>
        </w:rPr>
        <w:t>, 8 Wis.</w:t>
      </w:r>
      <w:r w:rsidR="00EF48E9">
        <w:rPr>
          <w:rFonts w:ascii="Times New Roman" w:hAnsi="Times New Roman" w:cs="Times New Roman"/>
        </w:rPr>
        <w:t xml:space="preserve"> </w:t>
      </w:r>
      <w:r w:rsidRPr="00554F34">
        <w:rPr>
          <w:rFonts w:ascii="Times New Roman" w:hAnsi="Times New Roman" w:cs="Times New Roman"/>
        </w:rPr>
        <w:t xml:space="preserve">2d 491, 99 N.W.2d 708, 100 N.W.2d 920 (1959); </w:t>
      </w:r>
      <w:r w:rsidRPr="00554F34">
        <w:rPr>
          <w:rFonts w:ascii="Times New Roman" w:hAnsi="Times New Roman" w:cs="Times New Roman"/>
          <w:u w:val="single"/>
        </w:rPr>
        <w:t>Schwenn v. Loraine Hotel Co.</w:t>
      </w:r>
      <w:r w:rsidRPr="00554F34">
        <w:rPr>
          <w:rFonts w:ascii="Times New Roman" w:hAnsi="Times New Roman" w:cs="Times New Roman"/>
        </w:rPr>
        <w:t>, 14 Wis.</w:t>
      </w:r>
      <w:r w:rsidR="00EF48E9">
        <w:rPr>
          <w:rFonts w:ascii="Times New Roman" w:hAnsi="Times New Roman" w:cs="Times New Roman"/>
        </w:rPr>
        <w:t xml:space="preserve"> </w:t>
      </w:r>
      <w:r w:rsidRPr="00554F34">
        <w:rPr>
          <w:rFonts w:ascii="Times New Roman" w:hAnsi="Times New Roman" w:cs="Times New Roman"/>
        </w:rPr>
        <w:t>2d 601, 608</w:t>
      </w:r>
      <w:r w:rsidR="00EF48E9">
        <w:rPr>
          <w:rFonts w:ascii="Times New Roman" w:hAnsi="Times New Roman" w:cs="Times New Roman"/>
        </w:rPr>
        <w:t>-</w:t>
      </w:r>
      <w:r w:rsidRPr="00554F34">
        <w:rPr>
          <w:rFonts w:ascii="Times New Roman" w:hAnsi="Times New Roman" w:cs="Times New Roman"/>
        </w:rPr>
        <w:t xml:space="preserve">09, 111 N.W.2d 495 (1961); </w:t>
      </w:r>
      <w:r w:rsidRPr="00554F34">
        <w:rPr>
          <w:rFonts w:ascii="Times New Roman" w:hAnsi="Times New Roman" w:cs="Times New Roman"/>
          <w:u w:val="single"/>
        </w:rPr>
        <w:t>Filipiak v. Plombon</w:t>
      </w:r>
      <w:r w:rsidRPr="00554F34">
        <w:rPr>
          <w:rFonts w:ascii="Times New Roman" w:hAnsi="Times New Roman" w:cs="Times New Roman"/>
        </w:rPr>
        <w:t>, 15 Wis.</w:t>
      </w:r>
      <w:r w:rsidR="00EF48E9">
        <w:rPr>
          <w:rFonts w:ascii="Times New Roman" w:hAnsi="Times New Roman" w:cs="Times New Roman"/>
        </w:rPr>
        <w:t xml:space="preserve"> </w:t>
      </w:r>
      <w:r w:rsidRPr="00554F34">
        <w:rPr>
          <w:rFonts w:ascii="Times New Roman" w:hAnsi="Times New Roman" w:cs="Times New Roman"/>
        </w:rPr>
        <w:t xml:space="preserve">2d 484, 113 N.W.2d 365 (1962); </w:t>
      </w:r>
      <w:r w:rsidRPr="00554F34">
        <w:rPr>
          <w:rFonts w:ascii="Times New Roman" w:hAnsi="Times New Roman" w:cs="Times New Roman"/>
          <w:u w:val="single"/>
        </w:rPr>
        <w:t>Brueggeman v. Continental Casualty Co.</w:t>
      </w:r>
      <w:r w:rsidRPr="00554F34">
        <w:rPr>
          <w:rFonts w:ascii="Times New Roman" w:hAnsi="Times New Roman" w:cs="Times New Roman"/>
        </w:rPr>
        <w:t>, 141 Wis.</w:t>
      </w:r>
      <w:r w:rsidR="00EF48E9">
        <w:rPr>
          <w:rFonts w:ascii="Times New Roman" w:hAnsi="Times New Roman" w:cs="Times New Roman"/>
        </w:rPr>
        <w:t xml:space="preserve"> </w:t>
      </w:r>
      <w:r w:rsidRPr="00554F34">
        <w:rPr>
          <w:rFonts w:ascii="Times New Roman" w:hAnsi="Times New Roman" w:cs="Times New Roman"/>
        </w:rPr>
        <w:t xml:space="preserve">2d 406, 415 N.W.2d 531 (Ct. App. 1987); </w:t>
      </w:r>
      <w:r w:rsidRPr="00554F34">
        <w:rPr>
          <w:rFonts w:ascii="Times New Roman" w:hAnsi="Times New Roman" w:cs="Times New Roman"/>
          <w:u w:val="single"/>
        </w:rPr>
        <w:t xml:space="preserve">Schmorrow </w:t>
      </w:r>
      <w:r w:rsidRPr="00554F34">
        <w:rPr>
          <w:rFonts w:ascii="Times New Roman" w:hAnsi="Times New Roman" w:cs="Times New Roman"/>
          <w:u w:val="single"/>
        </w:rPr>
        <w:lastRenderedPageBreak/>
        <w:t>v. Sentry Ins. Co.</w:t>
      </w:r>
      <w:r w:rsidRPr="00554F34">
        <w:rPr>
          <w:rFonts w:ascii="Times New Roman" w:hAnsi="Times New Roman" w:cs="Times New Roman"/>
        </w:rPr>
        <w:t>, 138 Wis.</w:t>
      </w:r>
      <w:r w:rsidR="00EF48E9">
        <w:rPr>
          <w:rFonts w:ascii="Times New Roman" w:hAnsi="Times New Roman" w:cs="Times New Roman"/>
        </w:rPr>
        <w:t xml:space="preserve"> </w:t>
      </w:r>
      <w:r w:rsidRPr="00554F34">
        <w:rPr>
          <w:rFonts w:ascii="Times New Roman" w:hAnsi="Times New Roman" w:cs="Times New Roman"/>
        </w:rPr>
        <w:t>2d 31, 405 N.W.2d 672 (Ct. App. 1987)</w:t>
      </w:r>
      <w:r w:rsidR="00F70F33" w:rsidRPr="00554F34">
        <w:rPr>
          <w:rFonts w:ascii="Times New Roman" w:hAnsi="Times New Roman" w:cs="Times New Roman"/>
        </w:rPr>
        <w:t>;</w:t>
      </w:r>
      <w:r w:rsidR="007A4496" w:rsidRPr="00554F34">
        <w:rPr>
          <w:rFonts w:ascii="Times New Roman" w:hAnsi="Times New Roman" w:cs="Times New Roman"/>
        </w:rPr>
        <w:t xml:space="preserve"> </w:t>
      </w:r>
      <w:r w:rsidR="007A4496" w:rsidRPr="00554F34">
        <w:rPr>
          <w:rFonts w:ascii="Times New Roman" w:hAnsi="Times New Roman" w:cs="Times New Roman"/>
          <w:u w:val="single"/>
        </w:rPr>
        <w:t>Estate of Lorbiecki v. Pabst Brewing Co.</w:t>
      </w:r>
      <w:r w:rsidR="007A4496" w:rsidRPr="00554F34">
        <w:rPr>
          <w:rFonts w:ascii="Times New Roman" w:hAnsi="Times New Roman" w:cs="Times New Roman"/>
        </w:rPr>
        <w:t>, 2026 WI 12</w:t>
      </w:r>
      <w:r w:rsidR="006C56C8" w:rsidRPr="00554F34">
        <w:rPr>
          <w:rFonts w:ascii="Times New Roman" w:hAnsi="Times New Roman" w:cs="Times New Roman"/>
        </w:rPr>
        <w:t>, 419 Wis.</w:t>
      </w:r>
      <w:r w:rsidR="00EF48E9">
        <w:rPr>
          <w:rFonts w:ascii="Times New Roman" w:hAnsi="Times New Roman" w:cs="Times New Roman"/>
        </w:rPr>
        <w:t xml:space="preserve"> </w:t>
      </w:r>
      <w:r w:rsidR="006C56C8" w:rsidRPr="00554F34">
        <w:rPr>
          <w:rFonts w:ascii="Times New Roman" w:hAnsi="Times New Roman" w:cs="Times New Roman"/>
        </w:rPr>
        <w:t>2d 755, 33 N.W.3d 800.</w:t>
      </w:r>
    </w:p>
    <w:p w14:paraId="6D6A297B" w14:textId="77777777" w:rsidR="00E6343C" w:rsidRPr="00554F34" w:rsidRDefault="00E6343C" w:rsidP="00E6343C">
      <w:pPr>
        <w:pStyle w:val="NoSpacing"/>
        <w:jc w:val="both"/>
        <w:rPr>
          <w:rFonts w:ascii="Times New Roman" w:hAnsi="Times New Roman" w:cs="Times New Roman"/>
        </w:rPr>
      </w:pPr>
    </w:p>
    <w:p w14:paraId="1CC656D0" w14:textId="187BCC0B" w:rsidR="00E6343C" w:rsidRPr="00554F34" w:rsidRDefault="00E6343C" w:rsidP="00E6343C">
      <w:pPr>
        <w:pStyle w:val="NoSpacing"/>
        <w:ind w:firstLine="450"/>
        <w:jc w:val="both"/>
        <w:rPr>
          <w:rFonts w:ascii="Times New Roman" w:hAnsi="Times New Roman" w:cs="Times New Roman"/>
        </w:rPr>
      </w:pPr>
      <w:r w:rsidRPr="00554F34">
        <w:rPr>
          <w:rFonts w:ascii="Times New Roman" w:hAnsi="Times New Roman" w:cs="Times New Roman"/>
        </w:rPr>
        <w:t xml:space="preserve">The term </w:t>
      </w:r>
      <w:r w:rsidR="006448E2" w:rsidRPr="00554F34">
        <w:rPr>
          <w:rFonts w:ascii="Times New Roman" w:hAnsi="Times New Roman" w:cs="Times New Roman"/>
        </w:rPr>
        <w:t>“</w:t>
      </w:r>
      <w:r w:rsidRPr="00554F34">
        <w:rPr>
          <w:rFonts w:ascii="Times New Roman" w:hAnsi="Times New Roman" w:cs="Times New Roman"/>
        </w:rPr>
        <w:t>trade</w:t>
      </w:r>
      <w:r w:rsidR="006448E2" w:rsidRPr="00554F34">
        <w:rPr>
          <w:rFonts w:ascii="Times New Roman" w:hAnsi="Times New Roman" w:cs="Times New Roman"/>
        </w:rPr>
        <w:t>”</w:t>
      </w:r>
      <w:r w:rsidRPr="00554F34">
        <w:rPr>
          <w:rFonts w:ascii="Times New Roman" w:hAnsi="Times New Roman" w:cs="Times New Roman"/>
        </w:rPr>
        <w:t xml:space="preserve"> means an occupation pursued as a business or calling for a livelihood or profit. A place of trade is a place devoted to the business of buying or selling or applying some mechanical vocation. </w:t>
      </w:r>
      <w:r w:rsidRPr="00554F34">
        <w:rPr>
          <w:rFonts w:ascii="Times New Roman" w:hAnsi="Times New Roman" w:cs="Times New Roman"/>
          <w:u w:val="single"/>
        </w:rPr>
        <w:t>Sharpe v. Hasey</w:t>
      </w:r>
      <w:r w:rsidRPr="00554F34">
        <w:rPr>
          <w:rFonts w:ascii="Times New Roman" w:hAnsi="Times New Roman" w:cs="Times New Roman"/>
        </w:rPr>
        <w:t>, 134 Wis. 618, 114 N.W. 1118 (1908).</w:t>
      </w:r>
    </w:p>
    <w:p w14:paraId="7FFD183D" w14:textId="77777777" w:rsidR="00E6343C" w:rsidRPr="00554F34" w:rsidRDefault="00E6343C" w:rsidP="00E6343C">
      <w:pPr>
        <w:pStyle w:val="NoSpacing"/>
        <w:jc w:val="both"/>
        <w:rPr>
          <w:rFonts w:ascii="Times New Roman" w:hAnsi="Times New Roman" w:cs="Times New Roman"/>
        </w:rPr>
      </w:pPr>
    </w:p>
    <w:p w14:paraId="2B97E295" w14:textId="413E2AE9" w:rsidR="00E6343C" w:rsidRPr="00554F34" w:rsidRDefault="00E6343C" w:rsidP="00E6343C">
      <w:pPr>
        <w:pStyle w:val="NoSpacing"/>
        <w:ind w:firstLine="450"/>
        <w:jc w:val="both"/>
        <w:rPr>
          <w:rFonts w:ascii="Times New Roman" w:hAnsi="Times New Roman" w:cs="Times New Roman"/>
        </w:rPr>
      </w:pPr>
      <w:r w:rsidRPr="00554F34">
        <w:rPr>
          <w:rFonts w:ascii="Times New Roman" w:hAnsi="Times New Roman" w:cs="Times New Roman"/>
        </w:rPr>
        <w:t xml:space="preserve">The term </w:t>
      </w:r>
      <w:r w:rsidR="006448E2" w:rsidRPr="00554F34">
        <w:rPr>
          <w:rFonts w:ascii="Times New Roman" w:hAnsi="Times New Roman" w:cs="Times New Roman"/>
        </w:rPr>
        <w:t>“</w:t>
      </w:r>
      <w:r w:rsidRPr="00554F34">
        <w:rPr>
          <w:rFonts w:ascii="Times New Roman" w:hAnsi="Times New Roman" w:cs="Times New Roman"/>
        </w:rPr>
        <w:t>industry</w:t>
      </w:r>
      <w:r w:rsidR="006448E2" w:rsidRPr="00554F34">
        <w:rPr>
          <w:rFonts w:ascii="Times New Roman" w:hAnsi="Times New Roman" w:cs="Times New Roman"/>
        </w:rPr>
        <w:t>”</w:t>
      </w:r>
      <w:r w:rsidRPr="00554F34">
        <w:rPr>
          <w:rFonts w:ascii="Times New Roman" w:hAnsi="Times New Roman" w:cs="Times New Roman"/>
        </w:rPr>
        <w:t xml:space="preserve"> means any department or branch of art, occupation, or business conducted for a livelihood or profit, and it applies especially to a distinct branch of trade in which labor and capital are extensively employed. 21 Words and Phrases, Industry 509 (1960, Supp. 1963).</w:t>
      </w:r>
    </w:p>
    <w:p w14:paraId="7CDC42DF" w14:textId="77777777" w:rsidR="00E6343C" w:rsidRPr="00554F34" w:rsidRDefault="00E6343C" w:rsidP="00E6343C">
      <w:pPr>
        <w:pStyle w:val="NoSpacing"/>
        <w:jc w:val="both"/>
        <w:rPr>
          <w:rFonts w:ascii="Times New Roman" w:hAnsi="Times New Roman" w:cs="Times New Roman"/>
        </w:rPr>
      </w:pPr>
    </w:p>
    <w:p w14:paraId="636FBAA5" w14:textId="0627B15F" w:rsidR="00423676" w:rsidRPr="00554F34" w:rsidRDefault="00E6343C" w:rsidP="00E6343C">
      <w:pPr>
        <w:pStyle w:val="NoSpacing"/>
        <w:ind w:firstLine="450"/>
        <w:jc w:val="both"/>
        <w:rPr>
          <w:rFonts w:ascii="Times New Roman" w:hAnsi="Times New Roman" w:cs="Times New Roman"/>
        </w:rPr>
      </w:pPr>
      <w:r w:rsidRPr="00554F34">
        <w:rPr>
          <w:rFonts w:ascii="Times New Roman" w:hAnsi="Times New Roman" w:cs="Times New Roman"/>
        </w:rPr>
        <w:t xml:space="preserve">The term </w:t>
      </w:r>
      <w:r w:rsidR="006448E2" w:rsidRPr="00554F34">
        <w:rPr>
          <w:rFonts w:ascii="Times New Roman" w:hAnsi="Times New Roman" w:cs="Times New Roman"/>
        </w:rPr>
        <w:t>“</w:t>
      </w:r>
      <w:r w:rsidRPr="00554F34">
        <w:rPr>
          <w:rFonts w:ascii="Times New Roman" w:hAnsi="Times New Roman" w:cs="Times New Roman"/>
        </w:rPr>
        <w:t>business</w:t>
      </w:r>
      <w:r w:rsidR="006448E2" w:rsidRPr="00554F34">
        <w:rPr>
          <w:rFonts w:ascii="Times New Roman" w:hAnsi="Times New Roman" w:cs="Times New Roman"/>
        </w:rPr>
        <w:t>”</w:t>
      </w:r>
      <w:r w:rsidRPr="00554F34">
        <w:rPr>
          <w:rFonts w:ascii="Times New Roman" w:hAnsi="Times New Roman" w:cs="Times New Roman"/>
        </w:rPr>
        <w:t xml:space="preserve"> means some particular occupation or employment habitually engaged in for livelihood or profit. </w:t>
      </w:r>
      <w:r w:rsidRPr="00554F34">
        <w:rPr>
          <w:rFonts w:ascii="Times New Roman" w:hAnsi="Times New Roman" w:cs="Times New Roman"/>
          <w:u w:val="single"/>
        </w:rPr>
        <w:t>Vandervort v. Industrial Comm</w:t>
      </w:r>
      <w:r w:rsidR="006448E2" w:rsidRPr="00554F34">
        <w:rPr>
          <w:rFonts w:ascii="Times New Roman" w:hAnsi="Times New Roman" w:cs="Times New Roman"/>
          <w:u w:val="single"/>
        </w:rPr>
        <w:t>’</w:t>
      </w:r>
      <w:r w:rsidRPr="00554F34">
        <w:rPr>
          <w:rFonts w:ascii="Times New Roman" w:hAnsi="Times New Roman" w:cs="Times New Roman"/>
          <w:u w:val="single"/>
        </w:rPr>
        <w:t>n</w:t>
      </w:r>
      <w:r w:rsidRPr="00554F34">
        <w:rPr>
          <w:rFonts w:ascii="Times New Roman" w:hAnsi="Times New Roman" w:cs="Times New Roman"/>
        </w:rPr>
        <w:t xml:space="preserve">, 203 Wis. 362, 367, 234 N.W. 492 (1931); </w:t>
      </w:r>
      <w:r w:rsidRPr="00554F34">
        <w:rPr>
          <w:rFonts w:ascii="Times New Roman" w:hAnsi="Times New Roman" w:cs="Times New Roman"/>
          <w:u w:val="single"/>
        </w:rPr>
        <w:t>State v. Joe Must Go Club</w:t>
      </w:r>
      <w:r w:rsidRPr="00554F34">
        <w:rPr>
          <w:rFonts w:ascii="Times New Roman" w:hAnsi="Times New Roman" w:cs="Times New Roman"/>
        </w:rPr>
        <w:t>, 270 Wis. 108, 112, 113, 70 N.W.2d 681 (1955).</w:t>
      </w:r>
    </w:p>
    <w:p w14:paraId="57718954" w14:textId="77777777" w:rsidR="006C56C8" w:rsidRPr="00554F34" w:rsidRDefault="006C56C8" w:rsidP="006C56C8">
      <w:pPr>
        <w:pStyle w:val="NoSpacing"/>
        <w:jc w:val="both"/>
        <w:rPr>
          <w:rFonts w:ascii="Times New Roman" w:hAnsi="Times New Roman" w:cs="Times New Roman"/>
        </w:rPr>
      </w:pPr>
    </w:p>
    <w:p w14:paraId="40AACDC6" w14:textId="512F826D" w:rsidR="007A4496" w:rsidRPr="00554F34" w:rsidRDefault="006C56C8" w:rsidP="007A4496">
      <w:pPr>
        <w:pStyle w:val="NoSpacing"/>
        <w:ind w:firstLine="450"/>
        <w:jc w:val="both"/>
        <w:rPr>
          <w:rFonts w:ascii="Times New Roman" w:hAnsi="Times New Roman" w:cs="Times New Roman"/>
        </w:rPr>
      </w:pPr>
      <w:r w:rsidRPr="00554F34">
        <w:rPr>
          <w:rFonts w:ascii="Times New Roman" w:hAnsi="Times New Roman" w:cs="Times New Roman"/>
          <w:b/>
          <w:bCs/>
        </w:rPr>
        <w:t>Industrial and commercial premises</w:t>
      </w:r>
      <w:r w:rsidRPr="00554F34">
        <w:rPr>
          <w:rFonts w:ascii="Times New Roman" w:hAnsi="Times New Roman" w:cs="Times New Roman"/>
        </w:rPr>
        <w:t xml:space="preserve">. In cases involving an industrial or commercial facility, the “place of employment” element will often be undisputed. For example, in </w:t>
      </w:r>
      <w:r w:rsidRPr="00554F34">
        <w:rPr>
          <w:rFonts w:ascii="Times New Roman" w:hAnsi="Times New Roman" w:cs="Times New Roman"/>
          <w:u w:val="single"/>
        </w:rPr>
        <w:t>Estate of Lorbiecki v. Pabst Brewing Co.</w:t>
      </w:r>
      <w:r w:rsidRPr="00554F34">
        <w:rPr>
          <w:rFonts w:ascii="Times New Roman" w:hAnsi="Times New Roman" w:cs="Times New Roman"/>
        </w:rPr>
        <w:t xml:space="preserve">, 2026 WI 12, ¶¶3–5, the safe-place claim arose from work performed by steamfitters employed by independent contractors at Pabst’s brewery, and the court’s analysis proceeded on the premise that the brewery was subject to the safe-place statute. The disputed issues instead concerned the owner’s liability to an independent contractor’s employee, retained control of the work site, and whether airborne asbestos constituted an unsafe condition associated with the structure. See </w:t>
      </w:r>
      <w:r w:rsidRPr="00554F34">
        <w:rPr>
          <w:rFonts w:ascii="Times New Roman" w:hAnsi="Times New Roman" w:cs="Times New Roman"/>
          <w:u w:val="single"/>
        </w:rPr>
        <w:t>id</w:t>
      </w:r>
      <w:r w:rsidRPr="00554F34">
        <w:rPr>
          <w:rFonts w:ascii="Times New Roman" w:hAnsi="Times New Roman" w:cs="Times New Roman"/>
        </w:rPr>
        <w:t>., ¶¶17–28. Where there is no genuine dispute that the premises constitute a place of employment, the court need not submit this instruction and may treat that threshold element as established for purposes of the remaining safe-place analysis.</w:t>
      </w:r>
    </w:p>
    <w:sectPr w:rsidR="007A4496" w:rsidRPr="00554F34" w:rsidSect="00554F34">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F3781" w14:textId="77777777" w:rsidR="00E6343C" w:rsidRDefault="00E6343C" w:rsidP="00E6343C">
      <w:pPr>
        <w:spacing w:after="0" w:line="240" w:lineRule="auto"/>
      </w:pPr>
      <w:r>
        <w:separator/>
      </w:r>
    </w:p>
  </w:endnote>
  <w:endnote w:type="continuationSeparator" w:id="0">
    <w:p w14:paraId="60AAC550" w14:textId="77777777" w:rsidR="00E6343C" w:rsidRDefault="00E6343C" w:rsidP="00E6343C">
      <w:pPr>
        <w:spacing w:after="0" w:line="240" w:lineRule="auto"/>
      </w:pPr>
      <w:r>
        <w:continuationSeparator/>
      </w:r>
    </w:p>
  </w:endnote>
  <w:endnote w:id="1">
    <w:p w14:paraId="4C75BDD5" w14:textId="0C588E96" w:rsidR="00FF19B9" w:rsidRPr="00554F34" w:rsidRDefault="00FF19B9" w:rsidP="00FF19B9">
      <w:pPr>
        <w:pStyle w:val="NoSpacing"/>
        <w:tabs>
          <w:tab w:val="left" w:pos="900"/>
        </w:tabs>
        <w:ind w:firstLine="450"/>
        <w:jc w:val="both"/>
        <w:rPr>
          <w:rFonts w:ascii="Times New Roman" w:hAnsi="Times New Roman" w:cs="Times New Roman"/>
        </w:rPr>
      </w:pPr>
      <w:r w:rsidRPr="00554F34">
        <w:rPr>
          <w:rFonts w:ascii="Times New Roman" w:hAnsi="Times New Roman" w:cs="Times New Roman"/>
        </w:rPr>
        <w:endnoteRef/>
      </w:r>
      <w:r w:rsidRPr="00554F34">
        <w:rPr>
          <w:rFonts w:ascii="Times New Roman" w:hAnsi="Times New Roman" w:cs="Times New Roman"/>
        </w:rPr>
        <w:t xml:space="preserve">. </w:t>
      </w:r>
      <w:r w:rsidRPr="00554F34">
        <w:rPr>
          <w:rFonts w:ascii="Times New Roman" w:hAnsi="Times New Roman" w:cs="Times New Roman"/>
        </w:rPr>
        <w:tab/>
        <w:t>This is an abbreviated paraphrasing of the full subsection (11) of § 101.01, which provides:</w:t>
      </w:r>
    </w:p>
    <w:p w14:paraId="194EB7F9" w14:textId="77777777" w:rsidR="00FF19B9" w:rsidRPr="00554F34" w:rsidRDefault="00FF19B9" w:rsidP="00FF19B9">
      <w:pPr>
        <w:pStyle w:val="EndnoteText"/>
        <w:jc w:val="both"/>
        <w:rPr>
          <w:rFonts w:ascii="Times New Roman" w:hAnsi="Times New Roman" w:cs="Times New Roman"/>
          <w:sz w:val="22"/>
          <w:szCs w:val="22"/>
        </w:rPr>
      </w:pPr>
    </w:p>
    <w:p w14:paraId="2B3B0451" w14:textId="33F7A374" w:rsidR="00FF19B9" w:rsidRPr="00554F34" w:rsidRDefault="00FF19B9" w:rsidP="00FF19B9">
      <w:pPr>
        <w:pStyle w:val="EndnoteText"/>
        <w:ind w:left="450" w:right="450"/>
        <w:jc w:val="both"/>
        <w:rPr>
          <w:rFonts w:ascii="Times New Roman" w:hAnsi="Times New Roman" w:cs="Times New Roman"/>
          <w:sz w:val="22"/>
          <w:szCs w:val="22"/>
        </w:rPr>
      </w:pPr>
      <w:r w:rsidRPr="00554F34">
        <w:rPr>
          <w:rFonts w:ascii="Times New Roman" w:hAnsi="Times New Roman" w:cs="Times New Roman"/>
          <w:sz w:val="22"/>
          <w:szCs w:val="22"/>
        </w:rPr>
        <w:t>“Place of employment” includes every place, whether indoors or out or underground and the premises appurtenant thereto where either temporarily or permanently any industry, trade, or business is carried on, or where any process or operation, directly or indirectly related to any industry, trade, or business, is carried on, and where any person is, directly or indirectly, employed by another for direct or indirect gain or profit, but does not include any place where persons are employed in private domestic service which does not involve the use of mechanical power or in farming. “Farming” includes those activities specified in s. 102.04 (3), and also includes the transportation of farm products, supplies, or equipment directly to the farm by the operator of the farm or employees for use thereon, if such activities are directly or indirectly for the purpose of producing commodities for market, or as an accessory to such production. When used with relation to building codes, “place of employment” does not include any of the following:</w:t>
      </w:r>
    </w:p>
    <w:p w14:paraId="3E466E69" w14:textId="77777777" w:rsidR="00D13A99" w:rsidRPr="00554F34" w:rsidRDefault="00D13A99" w:rsidP="00FF19B9">
      <w:pPr>
        <w:pStyle w:val="EndnoteText"/>
        <w:ind w:left="450" w:right="450"/>
        <w:jc w:val="both"/>
        <w:rPr>
          <w:rFonts w:ascii="Times New Roman" w:hAnsi="Times New Roman" w:cs="Times New Roman"/>
          <w:sz w:val="22"/>
          <w:szCs w:val="22"/>
        </w:rPr>
      </w:pPr>
    </w:p>
    <w:p w14:paraId="12215086" w14:textId="77777777" w:rsidR="00FF19B9" w:rsidRPr="00554F34" w:rsidRDefault="00FF19B9" w:rsidP="00FF19B9">
      <w:pPr>
        <w:pStyle w:val="EndnoteText"/>
        <w:ind w:left="900" w:right="450"/>
        <w:jc w:val="both"/>
        <w:rPr>
          <w:rFonts w:ascii="Times New Roman" w:hAnsi="Times New Roman" w:cs="Times New Roman"/>
          <w:sz w:val="22"/>
          <w:szCs w:val="22"/>
        </w:rPr>
      </w:pPr>
      <w:r w:rsidRPr="00554F34">
        <w:rPr>
          <w:rFonts w:ascii="Times New Roman" w:hAnsi="Times New Roman" w:cs="Times New Roman"/>
          <w:sz w:val="22"/>
          <w:szCs w:val="22"/>
        </w:rPr>
        <w:t>(a) An adult family home, as defined in s. 50.01 (1).</w:t>
      </w:r>
    </w:p>
    <w:p w14:paraId="231AE7E4" w14:textId="77777777" w:rsidR="00FF19B9" w:rsidRPr="00554F34" w:rsidRDefault="00FF19B9" w:rsidP="00FF19B9">
      <w:pPr>
        <w:pStyle w:val="EndnoteText"/>
        <w:ind w:left="900" w:right="450"/>
        <w:jc w:val="both"/>
        <w:rPr>
          <w:rFonts w:ascii="Times New Roman" w:hAnsi="Times New Roman" w:cs="Times New Roman"/>
          <w:sz w:val="22"/>
          <w:szCs w:val="22"/>
        </w:rPr>
      </w:pPr>
      <w:r w:rsidRPr="00554F34">
        <w:rPr>
          <w:rFonts w:ascii="Times New Roman" w:hAnsi="Times New Roman" w:cs="Times New Roman"/>
          <w:sz w:val="22"/>
          <w:szCs w:val="22"/>
        </w:rPr>
        <w:t>(b) Except for the purposes of s. 101.11, a previously constructed building used as a community-based residential facility, as defined in s. 50.01 (1g), which serves 20 or fewer residents who are not related to the operator or administrator.</w:t>
      </w:r>
    </w:p>
    <w:p w14:paraId="5A3EED0B" w14:textId="77777777" w:rsidR="00FF19B9" w:rsidRPr="00554F34" w:rsidRDefault="00FF19B9" w:rsidP="00FF19B9">
      <w:pPr>
        <w:pStyle w:val="EndnoteText"/>
        <w:ind w:left="900" w:right="450"/>
        <w:jc w:val="both"/>
        <w:rPr>
          <w:rFonts w:ascii="Times New Roman" w:hAnsi="Times New Roman" w:cs="Times New Roman"/>
          <w:sz w:val="22"/>
          <w:szCs w:val="22"/>
        </w:rPr>
      </w:pPr>
      <w:r w:rsidRPr="00554F34">
        <w:rPr>
          <w:rFonts w:ascii="Times New Roman" w:hAnsi="Times New Roman" w:cs="Times New Roman"/>
          <w:sz w:val="22"/>
          <w:szCs w:val="22"/>
        </w:rPr>
        <w:t>(c) A home-based business, as defined by the department by rule.</w:t>
      </w:r>
    </w:p>
    <w:p w14:paraId="64C64F97" w14:textId="3B18A952" w:rsidR="00FF19B9" w:rsidRDefault="00FF19B9" w:rsidP="00FF19B9">
      <w:pPr>
        <w:pStyle w:val="EndnoteText"/>
        <w:ind w:left="900" w:right="450"/>
        <w:jc w:val="both"/>
      </w:pPr>
      <w:r w:rsidRPr="00554F34">
        <w:rPr>
          <w:rFonts w:ascii="Times New Roman" w:hAnsi="Times New Roman" w:cs="Times New Roman"/>
          <w:sz w:val="22"/>
          <w:szCs w:val="22"/>
        </w:rPr>
        <w:t>(d) A not-for-profit facility with the primary purpose of housing or rehabilitating abandoned, injured, or sick wildlife.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F144F" w14:textId="77777777" w:rsidR="00E6343C" w:rsidRDefault="00E6343C" w:rsidP="00E6343C">
    <w:pPr>
      <w:pStyle w:val="Footer"/>
      <w:jc w:val="both"/>
      <w:rPr>
        <w:rFonts w:ascii="Arial" w:hAnsi="Arial" w:cs="Arial"/>
        <w:sz w:val="20"/>
        <w:szCs w:val="20"/>
      </w:rPr>
    </w:pPr>
  </w:p>
  <w:p w14:paraId="14EF277B" w14:textId="7FDE645C" w:rsidR="00E6343C" w:rsidRPr="00E6343C" w:rsidRDefault="00E6343C" w:rsidP="00E6343C">
    <w:pPr>
      <w:pStyle w:val="Footer"/>
      <w:jc w:val="both"/>
      <w:rPr>
        <w:rFonts w:ascii="Arial" w:hAnsi="Arial" w:cs="Arial"/>
        <w:sz w:val="20"/>
        <w:szCs w:val="20"/>
      </w:rPr>
    </w:pPr>
    <w:r w:rsidRPr="00E6343C">
      <w:rPr>
        <w:rFonts w:ascii="Arial" w:hAnsi="Arial" w:cs="Arial"/>
        <w:sz w:val="20"/>
        <w:szCs w:val="20"/>
      </w:rPr>
      <w:t xml:space="preserve">Wisconsin Court System, </w:t>
    </w:r>
    <w:r w:rsidR="00A63185">
      <w:rPr>
        <w:rFonts w:ascii="Arial" w:hAnsi="Arial" w:cs="Arial"/>
        <w:sz w:val="20"/>
        <w:szCs w:val="20"/>
      </w:rPr>
      <w:t>7</w:t>
    </w:r>
    <w:r w:rsidRPr="00E6343C">
      <w:rPr>
        <w:rFonts w:ascii="Arial" w:hAnsi="Arial" w:cs="Arial"/>
        <w:sz w:val="20"/>
        <w:szCs w:val="20"/>
      </w:rPr>
      <w:t>/2026</w:t>
    </w:r>
    <w:r w:rsidRPr="00E6343C">
      <w:rPr>
        <w:rFonts w:ascii="Arial" w:hAnsi="Arial" w:cs="Arial"/>
        <w:sz w:val="20"/>
        <w:szCs w:val="20"/>
      </w:rPr>
      <w:tab/>
    </w:r>
    <w:r w:rsidRPr="00E6343C">
      <w:rPr>
        <w:rFonts w:ascii="Arial" w:hAnsi="Arial" w:cs="Arial"/>
        <w:sz w:val="20"/>
        <w:szCs w:val="20"/>
      </w:rPr>
      <w:tab/>
      <w:t>(</w:t>
    </w:r>
    <w:r w:rsidR="00554F34">
      <w:rPr>
        <w:rFonts w:ascii="Arial" w:hAnsi="Arial" w:cs="Arial"/>
        <w:sz w:val="20"/>
        <w:szCs w:val="20"/>
      </w:rPr>
      <w:t>Release No. 61</w:t>
    </w:r>
    <w:r w:rsidRPr="00E6343C">
      <w:rPr>
        <w:rFonts w:ascii="Arial" w:hAnsi="Arial" w:cs="Arial"/>
        <w:sz w:val="20"/>
        <w:szCs w:val="20"/>
      </w:rPr>
      <w:t>)</w:t>
    </w:r>
  </w:p>
  <w:sdt>
    <w:sdtPr>
      <w:rPr>
        <w:rFonts w:ascii="Arial" w:hAnsi="Arial" w:cs="Arial"/>
        <w:sz w:val="20"/>
        <w:szCs w:val="20"/>
      </w:rPr>
      <w:id w:val="250391883"/>
      <w:docPartObj>
        <w:docPartGallery w:val="Page Numbers (Bottom of Page)"/>
        <w:docPartUnique/>
      </w:docPartObj>
    </w:sdtPr>
    <w:sdtEndPr>
      <w:rPr>
        <w:noProof/>
      </w:rPr>
    </w:sdtEndPr>
    <w:sdtContent>
      <w:p w14:paraId="492C5B36" w14:textId="62132E96" w:rsidR="00E6343C" w:rsidRPr="00E6343C" w:rsidRDefault="00E6343C">
        <w:pPr>
          <w:pStyle w:val="Footer"/>
          <w:jc w:val="center"/>
          <w:rPr>
            <w:rFonts w:ascii="Arial" w:hAnsi="Arial" w:cs="Arial"/>
            <w:sz w:val="20"/>
            <w:szCs w:val="20"/>
          </w:rPr>
        </w:pPr>
        <w:r w:rsidRPr="00E6343C">
          <w:rPr>
            <w:rFonts w:ascii="Arial" w:hAnsi="Arial" w:cs="Arial"/>
            <w:sz w:val="20"/>
            <w:szCs w:val="20"/>
          </w:rPr>
          <w:fldChar w:fldCharType="begin"/>
        </w:r>
        <w:r w:rsidRPr="00E6343C">
          <w:rPr>
            <w:rFonts w:ascii="Arial" w:hAnsi="Arial" w:cs="Arial"/>
            <w:sz w:val="20"/>
            <w:szCs w:val="20"/>
          </w:rPr>
          <w:instrText xml:space="preserve"> PAGE   \* MERGEFORMAT </w:instrText>
        </w:r>
        <w:r w:rsidRPr="00E6343C">
          <w:rPr>
            <w:rFonts w:ascii="Arial" w:hAnsi="Arial" w:cs="Arial"/>
            <w:sz w:val="20"/>
            <w:szCs w:val="20"/>
          </w:rPr>
          <w:fldChar w:fldCharType="separate"/>
        </w:r>
        <w:r w:rsidRPr="00E6343C">
          <w:rPr>
            <w:rFonts w:ascii="Arial" w:hAnsi="Arial" w:cs="Arial"/>
            <w:noProof/>
            <w:sz w:val="20"/>
            <w:szCs w:val="20"/>
          </w:rPr>
          <w:t>2</w:t>
        </w:r>
        <w:r w:rsidRPr="00E6343C">
          <w:rPr>
            <w:rFonts w:ascii="Arial" w:hAnsi="Arial" w:cs="Arial"/>
            <w:noProof/>
            <w:sz w:val="20"/>
            <w:szCs w:val="20"/>
          </w:rPr>
          <w:fldChar w:fldCharType="end"/>
        </w:r>
      </w:p>
    </w:sdtContent>
  </w:sdt>
  <w:p w14:paraId="688AE4FF" w14:textId="77777777" w:rsidR="00E6343C" w:rsidRDefault="00E63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0160D" w14:textId="77777777" w:rsidR="00E6343C" w:rsidRDefault="00E6343C" w:rsidP="00E6343C">
      <w:pPr>
        <w:spacing w:after="0" w:line="240" w:lineRule="auto"/>
      </w:pPr>
      <w:r>
        <w:separator/>
      </w:r>
    </w:p>
  </w:footnote>
  <w:footnote w:type="continuationSeparator" w:id="0">
    <w:p w14:paraId="05EE2ECC" w14:textId="77777777" w:rsidR="00E6343C" w:rsidRDefault="00E6343C" w:rsidP="00E634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DA37B" w14:textId="77777777" w:rsidR="00554F34" w:rsidRPr="00554F34" w:rsidRDefault="00554F34" w:rsidP="00E6343C">
    <w:pPr>
      <w:widowControl w:val="0"/>
      <w:tabs>
        <w:tab w:val="center" w:pos="4680"/>
        <w:tab w:val="right" w:pos="9360"/>
      </w:tabs>
      <w:autoSpaceDE w:val="0"/>
      <w:autoSpaceDN w:val="0"/>
      <w:adjustRightInd w:val="0"/>
      <w:spacing w:after="0" w:line="240" w:lineRule="auto"/>
      <w:jc w:val="both"/>
      <w:rPr>
        <w:rFonts w:ascii="Arial" w:eastAsia="Calibri" w:hAnsi="Arial" w:cs="Arial"/>
        <w:sz w:val="28"/>
        <w:szCs w:val="28"/>
      </w:rPr>
    </w:pPr>
  </w:p>
  <w:p w14:paraId="3CE0C5C0" w14:textId="7ACC0A22" w:rsidR="00E6343C" w:rsidRDefault="00E6343C" w:rsidP="00E6343C">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E6343C">
      <w:rPr>
        <w:rFonts w:ascii="Arial" w:eastAsia="Times New Roman" w:hAnsi="Arial" w:cs="Arial"/>
        <w:b/>
        <w:bCs/>
        <w:sz w:val="28"/>
        <w:szCs w:val="28"/>
      </w:rPr>
      <w:t>1910</w:t>
    </w:r>
    <w:r w:rsidRPr="00E6343C">
      <w:rPr>
        <w:rFonts w:ascii="Arial" w:eastAsia="Times New Roman" w:hAnsi="Arial" w:cs="Arial"/>
        <w:b/>
        <w:bCs/>
        <w:sz w:val="28"/>
        <w:szCs w:val="28"/>
      </w:rPr>
      <w:tab/>
      <w:t>WIS JI-CIVIL</w:t>
    </w:r>
    <w:r w:rsidRPr="00E6343C">
      <w:rPr>
        <w:rFonts w:ascii="Arial" w:eastAsia="Times New Roman" w:hAnsi="Arial" w:cs="Arial"/>
        <w:b/>
        <w:bCs/>
        <w:sz w:val="28"/>
        <w:szCs w:val="28"/>
      </w:rPr>
      <w:tab/>
      <w:t>1910</w:t>
    </w:r>
  </w:p>
  <w:p w14:paraId="1359095B" w14:textId="59C8989C" w:rsidR="00E6343C" w:rsidRDefault="00E6343C" w:rsidP="00E6343C">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7F938D7B" w14:textId="77777777" w:rsidR="00E6343C" w:rsidRPr="00E6343C" w:rsidRDefault="00E6343C" w:rsidP="00E6343C">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43C"/>
    <w:rsid w:val="00195205"/>
    <w:rsid w:val="00214205"/>
    <w:rsid w:val="00380B10"/>
    <w:rsid w:val="00406A94"/>
    <w:rsid w:val="00423676"/>
    <w:rsid w:val="00507F91"/>
    <w:rsid w:val="00554F34"/>
    <w:rsid w:val="005D217E"/>
    <w:rsid w:val="00610D46"/>
    <w:rsid w:val="00612761"/>
    <w:rsid w:val="006448E2"/>
    <w:rsid w:val="006C56C8"/>
    <w:rsid w:val="007A4496"/>
    <w:rsid w:val="007B7BE1"/>
    <w:rsid w:val="00955EE2"/>
    <w:rsid w:val="00A63185"/>
    <w:rsid w:val="00C052B1"/>
    <w:rsid w:val="00D13A99"/>
    <w:rsid w:val="00DD7D05"/>
    <w:rsid w:val="00E6343C"/>
    <w:rsid w:val="00EF48E9"/>
    <w:rsid w:val="00F43E71"/>
    <w:rsid w:val="00F6197C"/>
    <w:rsid w:val="00F70F33"/>
    <w:rsid w:val="00FF1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15D9370"/>
  <w15:chartTrackingRefBased/>
  <w15:docId w15:val="{4FF01572-5936-40E3-9070-C0DB014AB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43C"/>
  </w:style>
  <w:style w:type="paragraph" w:styleId="Footer">
    <w:name w:val="footer"/>
    <w:basedOn w:val="Normal"/>
    <w:link w:val="FooterChar"/>
    <w:uiPriority w:val="99"/>
    <w:unhideWhenUsed/>
    <w:rsid w:val="00E634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43C"/>
  </w:style>
  <w:style w:type="paragraph" w:styleId="NoSpacing">
    <w:name w:val="No Spacing"/>
    <w:uiPriority w:val="1"/>
    <w:qFormat/>
    <w:rsid w:val="00E6343C"/>
    <w:pPr>
      <w:spacing w:after="0" w:line="240" w:lineRule="auto"/>
    </w:pPr>
  </w:style>
  <w:style w:type="character" w:styleId="LineNumber">
    <w:name w:val="line number"/>
    <w:basedOn w:val="DefaultParagraphFont"/>
    <w:uiPriority w:val="99"/>
    <w:semiHidden/>
    <w:unhideWhenUsed/>
    <w:rsid w:val="00E6343C"/>
  </w:style>
  <w:style w:type="paragraph" w:styleId="EndnoteText">
    <w:name w:val="endnote text"/>
    <w:basedOn w:val="Normal"/>
    <w:link w:val="EndnoteTextChar"/>
    <w:uiPriority w:val="99"/>
    <w:semiHidden/>
    <w:unhideWhenUsed/>
    <w:rsid w:val="00DD7D0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D7D05"/>
    <w:rPr>
      <w:sz w:val="20"/>
      <w:szCs w:val="20"/>
    </w:rPr>
  </w:style>
  <w:style w:type="character" w:styleId="EndnoteReference">
    <w:name w:val="endnote reference"/>
    <w:basedOn w:val="DefaultParagraphFont"/>
    <w:uiPriority w:val="99"/>
    <w:semiHidden/>
    <w:unhideWhenUsed/>
    <w:rsid w:val="00DD7D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0EF7D-6E16-4B34-8512-233F11580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8</cp:revision>
  <cp:lastPrinted>2026-07-21T18:55:00Z</cp:lastPrinted>
  <dcterms:created xsi:type="dcterms:W3CDTF">2026-07-21T17:37:00Z</dcterms:created>
  <dcterms:modified xsi:type="dcterms:W3CDTF">2026-07-29T20:49:00Z</dcterms:modified>
</cp:coreProperties>
</file>