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8C" w:rsidRPr="00C821A7" w:rsidRDefault="006D4B8C" w:rsidP="006D4B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6"/>
          <w:szCs w:val="26"/>
        </w:rPr>
      </w:pPr>
      <w:r w:rsidRPr="00C821A7">
        <w:rPr>
          <w:rFonts w:ascii="Times New Roman" w:hAnsi="Times New Roman" w:cs="Times New Roman"/>
          <w:b/>
          <w:bCs/>
          <w:sz w:val="26"/>
          <w:szCs w:val="26"/>
        </w:rPr>
        <w:t>1920</w:t>
      </w:r>
      <w:r w:rsidRPr="00C821A7">
        <w:rPr>
          <w:rFonts w:ascii="Times New Roman" w:hAnsi="Times New Roman" w:cs="Times New Roman"/>
          <w:b/>
          <w:bCs/>
          <w:sz w:val="26"/>
          <w:szCs w:val="26"/>
        </w:rPr>
        <w:tab/>
        <w:t>NUISANCE: LAW NOTE</w:t>
      </w:r>
    </w:p>
    <w:p w:rsidR="006D4B8C" w:rsidRPr="00C821A7" w:rsidRDefault="006D4B8C" w:rsidP="006D4B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6"/>
          <w:szCs w:val="26"/>
        </w:rPr>
      </w:pPr>
    </w:p>
    <w:p w:rsidR="006D4B8C" w:rsidRPr="00C821A7" w:rsidRDefault="006D4B8C" w:rsidP="006D4B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6"/>
          <w:szCs w:val="26"/>
        </w:rPr>
      </w:pPr>
    </w:p>
    <w:p w:rsidR="006D4B8C" w:rsidRPr="00C821A7" w:rsidRDefault="006D4B8C" w:rsidP="006D4B8C">
      <w:pPr>
        <w:pStyle w:val="NoSpacing"/>
        <w:spacing w:line="480" w:lineRule="auto"/>
        <w:ind w:firstLine="450"/>
        <w:jc w:val="both"/>
        <w:rPr>
          <w:rFonts w:ascii="Times New Roman" w:hAnsi="Times New Roman" w:cs="Times New Roman"/>
          <w:sz w:val="26"/>
          <w:szCs w:val="26"/>
        </w:rPr>
      </w:pPr>
      <w:r w:rsidRPr="00C821A7">
        <w:rPr>
          <w:rFonts w:ascii="Times New Roman" w:hAnsi="Times New Roman" w:cs="Times New Roman"/>
          <w:sz w:val="26"/>
          <w:szCs w:val="26"/>
        </w:rPr>
        <w:t>The Wisconsin Supreme Court has addressed nuisance law in a number of decisions issued since the Committee last revised the nuisance jury instructions.</w:t>
      </w:r>
      <w:r w:rsidRPr="00C821A7">
        <w:rPr>
          <w:rFonts w:ascii="Times New Roman" w:hAnsi="Times New Roman" w:cs="Times New Roman"/>
          <w:sz w:val="26"/>
          <w:szCs w:val="26"/>
          <w:vertAlign w:val="superscript"/>
        </w:rPr>
        <w:t>1</w:t>
      </w:r>
      <w:r w:rsidRPr="00C821A7">
        <w:rPr>
          <w:rFonts w:ascii="Times New Roman" w:hAnsi="Times New Roman" w:cs="Times New Roman"/>
          <w:sz w:val="26"/>
          <w:szCs w:val="26"/>
        </w:rPr>
        <w:t xml:space="preserve"> As a </w:t>
      </w:r>
      <w:proofErr w:type="gramStart"/>
      <w:r w:rsidRPr="00C821A7">
        <w:rPr>
          <w:rFonts w:ascii="Times New Roman" w:hAnsi="Times New Roman" w:cs="Times New Roman"/>
          <w:sz w:val="26"/>
          <w:szCs w:val="26"/>
        </w:rPr>
        <w:t>result,</w:t>
      </w:r>
      <w:proofErr w:type="gramEnd"/>
      <w:r w:rsidRPr="00C821A7">
        <w:rPr>
          <w:rFonts w:ascii="Times New Roman" w:hAnsi="Times New Roman" w:cs="Times New Roman"/>
          <w:sz w:val="26"/>
          <w:szCs w:val="26"/>
        </w:rPr>
        <w:t xml:space="preserve"> the Committe</w:t>
      </w:r>
      <w:r w:rsidR="00C821A7" w:rsidRPr="00C821A7">
        <w:rPr>
          <w:rFonts w:ascii="Times New Roman" w:hAnsi="Times New Roman" w:cs="Times New Roman"/>
          <w:sz w:val="26"/>
          <w:szCs w:val="26"/>
        </w:rPr>
        <w:t>e has developed a series of six</w:t>
      </w:r>
      <w:r w:rsidRPr="00C821A7">
        <w:rPr>
          <w:rFonts w:ascii="Times New Roman" w:hAnsi="Times New Roman" w:cs="Times New Roman"/>
          <w:sz w:val="26"/>
          <w:szCs w:val="26"/>
        </w:rPr>
        <w:t xml:space="preserve"> instructions which follow this Note. (These instructions all pertain to nuisance actions for damages; actions seeking injunctive relief to abate a nuisance are equitable </w:t>
      </w:r>
      <w:proofErr w:type="gramStart"/>
      <w:r w:rsidRPr="00C821A7">
        <w:rPr>
          <w:rFonts w:ascii="Times New Roman" w:hAnsi="Times New Roman" w:cs="Times New Roman"/>
          <w:sz w:val="26"/>
          <w:szCs w:val="26"/>
        </w:rPr>
        <w:t>actions which</w:t>
      </w:r>
      <w:proofErr w:type="gramEnd"/>
      <w:r w:rsidRPr="00C821A7">
        <w:rPr>
          <w:rFonts w:ascii="Times New Roman" w:hAnsi="Times New Roman" w:cs="Times New Roman"/>
          <w:sz w:val="26"/>
          <w:szCs w:val="26"/>
        </w:rPr>
        <w:t xml:space="preserve"> the courts have jurisdiction to decide without a jury trial.</w:t>
      </w:r>
      <w:r w:rsidRPr="00C821A7">
        <w:rPr>
          <w:rFonts w:ascii="Times New Roman" w:hAnsi="Times New Roman" w:cs="Times New Roman"/>
          <w:sz w:val="26"/>
          <w:szCs w:val="26"/>
          <w:vertAlign w:val="superscript"/>
        </w:rPr>
        <w:t>2</w:t>
      </w:r>
      <w:r w:rsidRPr="00C821A7">
        <w:rPr>
          <w:rFonts w:ascii="Times New Roman" w:hAnsi="Times New Roman" w:cs="Times New Roman"/>
          <w:sz w:val="26"/>
          <w:szCs w:val="26"/>
        </w:rPr>
        <w:t>)</w:t>
      </w:r>
    </w:p>
    <w:p w:rsidR="006D4B8C" w:rsidRPr="00C821A7" w:rsidRDefault="006D4B8C" w:rsidP="006D4B8C">
      <w:pPr>
        <w:pStyle w:val="NoSpacing"/>
        <w:spacing w:line="480" w:lineRule="auto"/>
        <w:jc w:val="both"/>
        <w:rPr>
          <w:rFonts w:ascii="Times New Roman" w:hAnsi="Times New Roman" w:cs="Times New Roman"/>
          <w:b/>
          <w:bCs/>
          <w:sz w:val="26"/>
          <w:szCs w:val="26"/>
        </w:rPr>
      </w:pPr>
    </w:p>
    <w:p w:rsidR="006D4B8C" w:rsidRPr="00C821A7" w:rsidRDefault="006D4B8C" w:rsidP="006D4B8C">
      <w:pPr>
        <w:pStyle w:val="NoSpacing"/>
        <w:spacing w:line="480" w:lineRule="auto"/>
        <w:jc w:val="both"/>
        <w:rPr>
          <w:rFonts w:ascii="Times New Roman" w:hAnsi="Times New Roman" w:cs="Times New Roman"/>
          <w:sz w:val="26"/>
          <w:szCs w:val="26"/>
        </w:rPr>
      </w:pPr>
      <w:r w:rsidRPr="00C821A7">
        <w:rPr>
          <w:rFonts w:ascii="Times New Roman" w:hAnsi="Times New Roman" w:cs="Times New Roman"/>
          <w:b/>
          <w:bCs/>
          <w:sz w:val="26"/>
          <w:szCs w:val="26"/>
        </w:rPr>
        <w:t>“NUISANCE” DEFINED</w:t>
      </w:r>
    </w:p>
    <w:p w:rsidR="006D4B8C" w:rsidRPr="00C821A7" w:rsidRDefault="006D4B8C" w:rsidP="006D4B8C">
      <w:pPr>
        <w:pStyle w:val="NoSpacing"/>
        <w:spacing w:line="480" w:lineRule="auto"/>
        <w:ind w:firstLine="450"/>
        <w:jc w:val="both"/>
        <w:rPr>
          <w:rFonts w:ascii="Times New Roman" w:hAnsi="Times New Roman" w:cs="Times New Roman"/>
          <w:sz w:val="26"/>
          <w:szCs w:val="26"/>
        </w:rPr>
      </w:pPr>
      <w:proofErr w:type="gramStart"/>
      <w:r w:rsidRPr="00C821A7">
        <w:rPr>
          <w:rFonts w:ascii="Times New Roman" w:hAnsi="Times New Roman" w:cs="Times New Roman"/>
          <w:sz w:val="26"/>
          <w:szCs w:val="26"/>
        </w:rPr>
        <w:t>The term “nuisance” refers to a condition or activity which unduly interferes with the use of land or a public place.</w:t>
      </w:r>
      <w:r w:rsidRPr="00C821A7">
        <w:rPr>
          <w:rFonts w:ascii="Times New Roman" w:hAnsi="Times New Roman" w:cs="Times New Roman"/>
          <w:sz w:val="26"/>
          <w:szCs w:val="26"/>
          <w:vertAlign w:val="superscript"/>
        </w:rPr>
        <w:t>3</w:t>
      </w:r>
      <w:r w:rsidRPr="00C821A7">
        <w:rPr>
          <w:rFonts w:ascii="Times New Roman" w:hAnsi="Times New Roman" w:cs="Times New Roman"/>
          <w:sz w:val="26"/>
          <w:szCs w:val="26"/>
        </w:rPr>
        <w:t xml:space="preserve"> In the legal sense, it is important to keep in mind that “nuisance” does not refer to the conduct that causes the harm, but to the type of harm caused by the conduct.</w:t>
      </w:r>
      <w:r w:rsidRPr="00C821A7">
        <w:rPr>
          <w:rFonts w:ascii="Times New Roman" w:hAnsi="Times New Roman" w:cs="Times New Roman"/>
          <w:sz w:val="26"/>
          <w:szCs w:val="26"/>
          <w:vertAlign w:val="superscript"/>
        </w:rPr>
        <w:t>4</w:t>
      </w:r>
      <w:r w:rsidRPr="00C821A7">
        <w:rPr>
          <w:rFonts w:ascii="Times New Roman" w:hAnsi="Times New Roman" w:cs="Times New Roman"/>
          <w:sz w:val="26"/>
          <w:szCs w:val="26"/>
        </w:rPr>
        <w:t xml:space="preserve"> Also, “nuisance” does not describe a cause of action for the interference, but rather a type of harm that may or may not be actionable.</w:t>
      </w:r>
      <w:proofErr w:type="gramEnd"/>
      <w:r w:rsidRPr="00C821A7">
        <w:rPr>
          <w:rFonts w:ascii="Times New Roman" w:hAnsi="Times New Roman" w:cs="Times New Roman"/>
          <w:sz w:val="26"/>
          <w:szCs w:val="26"/>
        </w:rPr>
        <w:t xml:space="preserve"> “(I</w:t>
      </w:r>
      <w:proofErr w:type="gramStart"/>
      <w:r w:rsidRPr="00C821A7">
        <w:rPr>
          <w:rFonts w:ascii="Times New Roman" w:hAnsi="Times New Roman" w:cs="Times New Roman"/>
          <w:sz w:val="26"/>
          <w:szCs w:val="26"/>
        </w:rPr>
        <w:t>)t</w:t>
      </w:r>
      <w:proofErr w:type="gramEnd"/>
      <w:r w:rsidRPr="00C821A7">
        <w:rPr>
          <w:rFonts w:ascii="Times New Roman" w:hAnsi="Times New Roman" w:cs="Times New Roman"/>
          <w:sz w:val="26"/>
          <w:szCs w:val="26"/>
        </w:rPr>
        <w:t xml:space="preserve"> is imperative to distinguish between a nuisance and liability for a nuisance, as it is possible to have a nuisance and yet no liability. A nuisance is nothing more than a particular type of harm suffered; liability depends upon the existence of underlying tortious acts that cause the harm.”</w:t>
      </w:r>
      <w:r w:rsidRPr="00C821A7">
        <w:rPr>
          <w:rFonts w:ascii="Times New Roman" w:hAnsi="Times New Roman" w:cs="Times New Roman"/>
          <w:sz w:val="26"/>
          <w:szCs w:val="26"/>
          <w:vertAlign w:val="superscript"/>
        </w:rPr>
        <w:t>5</w:t>
      </w:r>
    </w:p>
    <w:p w:rsidR="006D4B8C" w:rsidRPr="00C821A7" w:rsidRDefault="006D4B8C" w:rsidP="006D4B8C">
      <w:pPr>
        <w:pStyle w:val="NoSpacing"/>
        <w:spacing w:line="480" w:lineRule="auto"/>
        <w:ind w:firstLine="450"/>
        <w:jc w:val="both"/>
        <w:rPr>
          <w:rFonts w:ascii="Times New Roman" w:hAnsi="Times New Roman" w:cs="Times New Roman"/>
          <w:sz w:val="26"/>
          <w:szCs w:val="26"/>
        </w:rPr>
      </w:pPr>
    </w:p>
    <w:p w:rsidR="006D4B8C" w:rsidRPr="00C821A7" w:rsidRDefault="006D4B8C" w:rsidP="006D4B8C">
      <w:pPr>
        <w:pStyle w:val="NoSpacing"/>
        <w:spacing w:line="480" w:lineRule="auto"/>
        <w:ind w:firstLine="450"/>
        <w:jc w:val="both"/>
        <w:rPr>
          <w:rFonts w:ascii="Times New Roman" w:hAnsi="Times New Roman" w:cs="Times New Roman"/>
          <w:sz w:val="26"/>
          <w:szCs w:val="26"/>
        </w:rPr>
      </w:pPr>
    </w:p>
    <w:p w:rsidR="006D4B8C" w:rsidRPr="00C821A7" w:rsidRDefault="006D4B8C" w:rsidP="006D4B8C">
      <w:pPr>
        <w:pStyle w:val="NoSpacing"/>
        <w:spacing w:line="480" w:lineRule="auto"/>
        <w:jc w:val="both"/>
        <w:rPr>
          <w:rFonts w:ascii="Times New Roman" w:hAnsi="Times New Roman" w:cs="Times New Roman"/>
          <w:b/>
          <w:bCs/>
          <w:sz w:val="26"/>
          <w:szCs w:val="26"/>
        </w:rPr>
      </w:pPr>
      <w:r w:rsidRPr="00C821A7">
        <w:rPr>
          <w:rFonts w:ascii="Times New Roman" w:hAnsi="Times New Roman" w:cs="Times New Roman"/>
          <w:b/>
          <w:bCs/>
          <w:sz w:val="26"/>
          <w:szCs w:val="26"/>
        </w:rPr>
        <w:lastRenderedPageBreak/>
        <w:t>CLASSIFICATION OF NUISANCES</w:t>
      </w:r>
    </w:p>
    <w:p w:rsidR="006D4B8C" w:rsidRPr="00C821A7" w:rsidRDefault="006D4B8C" w:rsidP="006D4B8C">
      <w:pPr>
        <w:pStyle w:val="NoSpacing"/>
        <w:spacing w:line="480" w:lineRule="auto"/>
        <w:ind w:firstLine="450"/>
        <w:jc w:val="both"/>
        <w:rPr>
          <w:rFonts w:ascii="Times New Roman" w:hAnsi="Times New Roman" w:cs="Times New Roman"/>
          <w:sz w:val="26"/>
          <w:szCs w:val="26"/>
        </w:rPr>
      </w:pPr>
      <w:r w:rsidRPr="00C821A7">
        <w:rPr>
          <w:rFonts w:ascii="Times New Roman" w:hAnsi="Times New Roman" w:cs="Times New Roman"/>
          <w:sz w:val="26"/>
          <w:szCs w:val="26"/>
        </w:rPr>
        <w:t xml:space="preserve">Nuisances can be classified based on the type of interference involved and the nature of the </w:t>
      </w:r>
      <w:proofErr w:type="gramStart"/>
      <w:r w:rsidRPr="00C821A7">
        <w:rPr>
          <w:rFonts w:ascii="Times New Roman" w:hAnsi="Times New Roman" w:cs="Times New Roman"/>
          <w:sz w:val="26"/>
          <w:szCs w:val="26"/>
        </w:rPr>
        <w:t>conduct which</w:t>
      </w:r>
      <w:proofErr w:type="gramEnd"/>
      <w:r w:rsidRPr="00C821A7">
        <w:rPr>
          <w:rFonts w:ascii="Times New Roman" w:hAnsi="Times New Roman" w:cs="Times New Roman"/>
          <w:sz w:val="26"/>
          <w:szCs w:val="26"/>
        </w:rPr>
        <w:t xml:space="preserve"> is alleged to give rise to liability for the nuisance. </w:t>
      </w:r>
    </w:p>
    <w:p w:rsidR="00755C38" w:rsidRPr="00C821A7" w:rsidRDefault="006D4B8C" w:rsidP="002B61E7">
      <w:pPr>
        <w:pStyle w:val="NoSpacing"/>
        <w:spacing w:line="480" w:lineRule="auto"/>
        <w:ind w:firstLine="450"/>
        <w:jc w:val="both"/>
        <w:rPr>
          <w:rFonts w:ascii="Times New Roman" w:hAnsi="Times New Roman" w:cs="Times New Roman"/>
          <w:sz w:val="26"/>
          <w:szCs w:val="26"/>
        </w:rPr>
      </w:pPr>
      <w:r w:rsidRPr="00C821A7">
        <w:rPr>
          <w:rFonts w:ascii="Times New Roman" w:hAnsi="Times New Roman" w:cs="Times New Roman"/>
          <w:sz w:val="26"/>
          <w:szCs w:val="26"/>
        </w:rPr>
        <w:t xml:space="preserve">Nuisances </w:t>
      </w:r>
      <w:proofErr w:type="gramStart"/>
      <w:r w:rsidRPr="00C821A7">
        <w:rPr>
          <w:rFonts w:ascii="Times New Roman" w:hAnsi="Times New Roman" w:cs="Times New Roman"/>
          <w:sz w:val="26"/>
          <w:szCs w:val="26"/>
        </w:rPr>
        <w:t>are divided</w:t>
      </w:r>
      <w:proofErr w:type="gramEnd"/>
      <w:r w:rsidRPr="00C821A7">
        <w:rPr>
          <w:rFonts w:ascii="Times New Roman" w:hAnsi="Times New Roman" w:cs="Times New Roman"/>
          <w:sz w:val="26"/>
          <w:szCs w:val="26"/>
        </w:rPr>
        <w:t xml:space="preserve"> into two types, depending on the nature of the interference: </w:t>
      </w:r>
      <w:r w:rsidRPr="00C821A7">
        <w:rPr>
          <w:rFonts w:ascii="Times New Roman" w:hAnsi="Times New Roman" w:cs="Times New Roman"/>
          <w:sz w:val="26"/>
          <w:szCs w:val="26"/>
          <w:u w:val="single"/>
        </w:rPr>
        <w:t>private</w:t>
      </w:r>
      <w:r w:rsidRPr="00C821A7">
        <w:rPr>
          <w:rFonts w:ascii="Times New Roman" w:hAnsi="Times New Roman" w:cs="Times New Roman"/>
          <w:sz w:val="26"/>
          <w:szCs w:val="26"/>
        </w:rPr>
        <w:t xml:space="preserve"> or </w:t>
      </w:r>
      <w:r w:rsidRPr="00C821A7">
        <w:rPr>
          <w:rFonts w:ascii="Times New Roman" w:hAnsi="Times New Roman" w:cs="Times New Roman"/>
          <w:sz w:val="26"/>
          <w:szCs w:val="26"/>
          <w:u w:val="single"/>
        </w:rPr>
        <w:t>public</w:t>
      </w:r>
      <w:r w:rsidRPr="00C821A7">
        <w:rPr>
          <w:rFonts w:ascii="Times New Roman" w:hAnsi="Times New Roman" w:cs="Times New Roman"/>
          <w:sz w:val="26"/>
          <w:szCs w:val="26"/>
        </w:rPr>
        <w:t xml:space="preserve">. </w:t>
      </w:r>
      <w:proofErr w:type="gramStart"/>
      <w:r w:rsidRPr="00C821A7">
        <w:rPr>
          <w:rFonts w:ascii="Times New Roman" w:hAnsi="Times New Roman" w:cs="Times New Roman"/>
          <w:sz w:val="26"/>
          <w:szCs w:val="26"/>
        </w:rPr>
        <w:t xml:space="preserve">A private nuisance is a </w:t>
      </w:r>
      <w:proofErr w:type="spellStart"/>
      <w:r w:rsidRPr="00C821A7">
        <w:rPr>
          <w:rFonts w:ascii="Times New Roman" w:hAnsi="Times New Roman" w:cs="Times New Roman"/>
          <w:sz w:val="26"/>
          <w:szCs w:val="26"/>
        </w:rPr>
        <w:t>nontrespassory</w:t>
      </w:r>
      <w:proofErr w:type="spellEnd"/>
      <w:r w:rsidRPr="00C821A7">
        <w:rPr>
          <w:rFonts w:ascii="Times New Roman" w:hAnsi="Times New Roman" w:cs="Times New Roman"/>
          <w:sz w:val="26"/>
          <w:szCs w:val="26"/>
        </w:rPr>
        <w:t xml:space="preserve"> invasion of or interference with an interest in the private use and enjoyment of land.</w:t>
      </w:r>
      <w:r w:rsidRPr="00C821A7">
        <w:rPr>
          <w:rFonts w:ascii="Times New Roman" w:hAnsi="Times New Roman" w:cs="Times New Roman"/>
          <w:sz w:val="26"/>
          <w:szCs w:val="26"/>
          <w:vertAlign w:val="superscript"/>
        </w:rPr>
        <w:t>6</w:t>
      </w:r>
      <w:r w:rsidRPr="00C821A7">
        <w:rPr>
          <w:rFonts w:ascii="Times New Roman" w:hAnsi="Times New Roman" w:cs="Times New Roman"/>
          <w:sz w:val="26"/>
          <w:szCs w:val="26"/>
        </w:rPr>
        <w:t xml:space="preserve"> </w:t>
      </w:r>
      <w:r w:rsidR="00755C38" w:rsidRPr="00C821A7">
        <w:rPr>
          <w:rFonts w:ascii="Times New Roman" w:hAnsi="Times New Roman" w:cs="Times New Roman"/>
          <w:sz w:val="26"/>
          <w:szCs w:val="26"/>
        </w:rPr>
        <w:t>As long as the interference is unreasonable and substantial, rather than petty or trifling, virtually any disturbance of the enjoyment of the property may amount to a nuisance.</w:t>
      </w:r>
      <w:r w:rsidR="006429E0" w:rsidRPr="00C821A7">
        <w:rPr>
          <w:rFonts w:ascii="Times New Roman" w:hAnsi="Times New Roman" w:cs="Times New Roman"/>
          <w:sz w:val="26"/>
          <w:szCs w:val="26"/>
          <w:vertAlign w:val="superscript"/>
        </w:rPr>
        <w:t>7</w:t>
      </w:r>
      <w:r w:rsidR="00D63F4D" w:rsidRPr="00C821A7">
        <w:rPr>
          <w:rFonts w:ascii="Times New Roman" w:hAnsi="Times New Roman" w:cs="Times New Roman"/>
          <w:sz w:val="26"/>
          <w:szCs w:val="26"/>
        </w:rPr>
        <w:t xml:space="preserve"> </w:t>
      </w:r>
      <w:r w:rsidR="00755C38" w:rsidRPr="00C821A7">
        <w:rPr>
          <w:rFonts w:ascii="Times New Roman" w:hAnsi="Times New Roman" w:cs="Times New Roman"/>
          <w:sz w:val="26"/>
          <w:szCs w:val="26"/>
        </w:rPr>
        <w:t>For example, invasions by noxious odors, smoke, and noise can rise to the level of a nuisance.</w:t>
      </w:r>
      <w:r w:rsidR="006429E0" w:rsidRPr="00C821A7">
        <w:rPr>
          <w:rFonts w:ascii="Times New Roman" w:hAnsi="Times New Roman" w:cs="Times New Roman"/>
          <w:sz w:val="26"/>
          <w:szCs w:val="26"/>
          <w:vertAlign w:val="superscript"/>
        </w:rPr>
        <w:t>8</w:t>
      </w:r>
      <w:proofErr w:type="gramEnd"/>
      <w:r w:rsidR="00755C38" w:rsidRPr="00C821A7">
        <w:rPr>
          <w:rFonts w:ascii="Times New Roman" w:hAnsi="Times New Roman" w:cs="Times New Roman"/>
          <w:sz w:val="26"/>
          <w:szCs w:val="26"/>
        </w:rPr>
        <w:t xml:space="preserve"> </w:t>
      </w:r>
    </w:p>
    <w:p w:rsidR="006D4B8C" w:rsidRPr="00C821A7" w:rsidRDefault="006D4B8C" w:rsidP="00D63F4D">
      <w:pPr>
        <w:pStyle w:val="NoSpacing"/>
        <w:spacing w:line="480" w:lineRule="auto"/>
        <w:ind w:firstLine="450"/>
        <w:jc w:val="both"/>
        <w:rPr>
          <w:rFonts w:ascii="Times New Roman" w:hAnsi="Times New Roman" w:cs="Times New Roman"/>
          <w:sz w:val="26"/>
          <w:szCs w:val="26"/>
        </w:rPr>
      </w:pPr>
      <w:proofErr w:type="gramStart"/>
      <w:r w:rsidRPr="00C821A7">
        <w:rPr>
          <w:rFonts w:ascii="Times New Roman" w:hAnsi="Times New Roman" w:cs="Times New Roman"/>
          <w:sz w:val="26"/>
          <w:szCs w:val="26"/>
        </w:rPr>
        <w:t>A public nuisance is a condition or activity which unreasonably interferes with the use of a public place or with the activities of an entire community.</w:t>
      </w:r>
      <w:r w:rsidR="006B0CD0" w:rsidRPr="00C821A7">
        <w:rPr>
          <w:rFonts w:ascii="Times New Roman" w:hAnsi="Times New Roman" w:cs="Times New Roman"/>
          <w:sz w:val="26"/>
          <w:szCs w:val="26"/>
          <w:vertAlign w:val="superscript"/>
        </w:rPr>
        <w:t>9</w:t>
      </w:r>
      <w:r w:rsidRPr="00C821A7">
        <w:rPr>
          <w:rFonts w:ascii="Times New Roman" w:hAnsi="Times New Roman" w:cs="Times New Roman"/>
          <w:sz w:val="26"/>
          <w:szCs w:val="26"/>
        </w:rPr>
        <w:t xml:space="preserve"> “In order to recover damages in an individual action for a public nuisance, one must have suffered harm of a kind different from that suffered by other members of the public exercising the right common to the general public that was the subject of interference.”</w:t>
      </w:r>
      <w:proofErr w:type="gramEnd"/>
      <w:r w:rsidR="006B0CD0" w:rsidRPr="00C821A7">
        <w:rPr>
          <w:rFonts w:ascii="Times New Roman" w:hAnsi="Times New Roman" w:cs="Times New Roman"/>
          <w:sz w:val="26"/>
          <w:szCs w:val="26"/>
          <w:vertAlign w:val="superscript"/>
        </w:rPr>
        <w:t>10</w:t>
      </w:r>
    </w:p>
    <w:p w:rsidR="006D4B8C" w:rsidRPr="00C821A7" w:rsidRDefault="006D4B8C" w:rsidP="003F2971">
      <w:pPr>
        <w:pStyle w:val="NoSpacing"/>
        <w:spacing w:line="480" w:lineRule="auto"/>
        <w:ind w:firstLine="450"/>
        <w:jc w:val="both"/>
        <w:rPr>
          <w:rFonts w:ascii="Times New Roman" w:hAnsi="Times New Roman" w:cs="Times New Roman"/>
          <w:sz w:val="26"/>
          <w:szCs w:val="26"/>
          <w:vertAlign w:val="superscript"/>
        </w:rPr>
      </w:pPr>
      <w:r w:rsidRPr="00C821A7">
        <w:rPr>
          <w:rFonts w:ascii="Times New Roman" w:hAnsi="Times New Roman" w:cs="Times New Roman"/>
          <w:sz w:val="26"/>
          <w:szCs w:val="26"/>
        </w:rPr>
        <w:t>Although the type of harm suffered in the case of a private nuisance is different than that suffered where there is a public nuisance, the prerequisites to liability in either case are virtually identical.</w:t>
      </w:r>
      <w:r w:rsidR="006B0CD0" w:rsidRPr="00C821A7">
        <w:rPr>
          <w:rStyle w:val="FootnoteReference"/>
          <w:rFonts w:ascii="Times New Roman" w:hAnsi="Times New Roman" w:cs="Times New Roman"/>
          <w:sz w:val="26"/>
          <w:szCs w:val="26"/>
          <w:vertAlign w:val="superscript"/>
        </w:rPr>
        <w:t>11</w:t>
      </w:r>
      <w:r w:rsidRPr="00C821A7">
        <w:rPr>
          <w:rFonts w:ascii="Times New Roman" w:hAnsi="Times New Roman" w:cs="Times New Roman"/>
          <w:sz w:val="26"/>
          <w:szCs w:val="26"/>
        </w:rPr>
        <w:t xml:space="preserve"> In either case, the plaintiff must demonstrate that the interference resulted in significant harm.</w:t>
      </w:r>
      <w:r w:rsidR="006B0CD0" w:rsidRPr="00C821A7">
        <w:rPr>
          <w:rFonts w:ascii="Times New Roman" w:hAnsi="Times New Roman" w:cs="Times New Roman"/>
          <w:sz w:val="26"/>
          <w:szCs w:val="26"/>
          <w:vertAlign w:val="superscript"/>
        </w:rPr>
        <w:t>12</w:t>
      </w:r>
      <w:r w:rsidRPr="00C821A7">
        <w:rPr>
          <w:rFonts w:ascii="Times New Roman" w:hAnsi="Times New Roman" w:cs="Times New Roman"/>
          <w:sz w:val="26"/>
          <w:szCs w:val="26"/>
        </w:rPr>
        <w:t xml:space="preserve"> </w:t>
      </w:r>
      <w:r w:rsidR="002B61E7" w:rsidRPr="00C821A7">
        <w:rPr>
          <w:rFonts w:ascii="Times New Roman" w:hAnsi="Times New Roman" w:cs="Times New Roman"/>
          <w:sz w:val="26"/>
          <w:szCs w:val="26"/>
        </w:rPr>
        <w:t>“Significant harm” means “more</w:t>
      </w:r>
      <w:r w:rsidR="00C825A5" w:rsidRPr="00C821A7">
        <w:rPr>
          <w:rFonts w:ascii="Times New Roman" w:hAnsi="Times New Roman" w:cs="Times New Roman"/>
          <w:sz w:val="26"/>
          <w:szCs w:val="26"/>
        </w:rPr>
        <w:t xml:space="preserve"> </w:t>
      </w:r>
      <w:r w:rsidR="002B61E7" w:rsidRPr="00C821A7">
        <w:rPr>
          <w:rFonts w:ascii="Times New Roman" w:hAnsi="Times New Roman" w:cs="Times New Roman"/>
          <w:sz w:val="26"/>
          <w:szCs w:val="26"/>
        </w:rPr>
        <w:t>than slight inconvenience or p</w:t>
      </w:r>
      <w:r w:rsidR="00C825A5" w:rsidRPr="00C821A7">
        <w:rPr>
          <w:rFonts w:ascii="Times New Roman" w:hAnsi="Times New Roman" w:cs="Times New Roman"/>
          <w:sz w:val="26"/>
          <w:szCs w:val="26"/>
        </w:rPr>
        <w:t xml:space="preserve">etty annoyance.... [T]here must </w:t>
      </w:r>
      <w:r w:rsidR="002B61E7" w:rsidRPr="00C821A7">
        <w:rPr>
          <w:rFonts w:ascii="Times New Roman" w:hAnsi="Times New Roman" w:cs="Times New Roman"/>
          <w:sz w:val="26"/>
          <w:szCs w:val="26"/>
        </w:rPr>
        <w:t>be a real and a</w:t>
      </w:r>
      <w:r w:rsidR="00C825A5" w:rsidRPr="00C821A7">
        <w:rPr>
          <w:rFonts w:ascii="Times New Roman" w:hAnsi="Times New Roman" w:cs="Times New Roman"/>
          <w:sz w:val="26"/>
          <w:szCs w:val="26"/>
        </w:rPr>
        <w:t xml:space="preserve">ppreciable invasion of the </w:t>
      </w:r>
      <w:r w:rsidR="003F2971" w:rsidRPr="00C821A7">
        <w:rPr>
          <w:rFonts w:ascii="Times New Roman" w:hAnsi="Times New Roman" w:cs="Times New Roman"/>
          <w:sz w:val="26"/>
          <w:szCs w:val="26"/>
        </w:rPr>
        <w:t>plaintiff’</w:t>
      </w:r>
      <w:r w:rsidR="00C825A5" w:rsidRPr="00C821A7">
        <w:rPr>
          <w:rFonts w:ascii="Times New Roman" w:hAnsi="Times New Roman" w:cs="Times New Roman"/>
          <w:sz w:val="26"/>
          <w:szCs w:val="26"/>
        </w:rPr>
        <w:t xml:space="preserve">s </w:t>
      </w:r>
      <w:r w:rsidR="003B6CBF" w:rsidRPr="00C821A7">
        <w:rPr>
          <w:rFonts w:ascii="Times New Roman" w:hAnsi="Times New Roman" w:cs="Times New Roman"/>
          <w:sz w:val="26"/>
          <w:szCs w:val="26"/>
        </w:rPr>
        <w:t>interests before he or she</w:t>
      </w:r>
      <w:r w:rsidR="002B61E7" w:rsidRPr="00C821A7">
        <w:rPr>
          <w:rFonts w:ascii="Times New Roman" w:hAnsi="Times New Roman" w:cs="Times New Roman"/>
          <w:sz w:val="26"/>
          <w:szCs w:val="26"/>
        </w:rPr>
        <w:t xml:space="preserve"> can have an action for” a nuisance.</w:t>
      </w:r>
      <w:r w:rsidR="006B0CD0" w:rsidRPr="00C821A7">
        <w:rPr>
          <w:rFonts w:ascii="Times New Roman" w:hAnsi="Times New Roman" w:cs="Times New Roman"/>
          <w:sz w:val="26"/>
          <w:szCs w:val="26"/>
          <w:vertAlign w:val="superscript"/>
        </w:rPr>
        <w:t>13</w:t>
      </w:r>
      <w:r w:rsidR="003F2971" w:rsidRPr="00C821A7">
        <w:rPr>
          <w:rFonts w:ascii="Times New Roman" w:hAnsi="Times New Roman" w:cs="Times New Roman"/>
          <w:sz w:val="26"/>
          <w:szCs w:val="26"/>
          <w:vertAlign w:val="superscript"/>
        </w:rPr>
        <w:t xml:space="preserve"> </w:t>
      </w:r>
      <w:proofErr w:type="gramStart"/>
      <w:r w:rsidRPr="00C821A7">
        <w:rPr>
          <w:rFonts w:ascii="Times New Roman" w:hAnsi="Times New Roman" w:cs="Times New Roman"/>
          <w:sz w:val="26"/>
          <w:szCs w:val="26"/>
        </w:rPr>
        <w:t>There</w:t>
      </w:r>
      <w:proofErr w:type="gramEnd"/>
      <w:r w:rsidRPr="00C821A7">
        <w:rPr>
          <w:rFonts w:ascii="Times New Roman" w:hAnsi="Times New Roman" w:cs="Times New Roman"/>
          <w:sz w:val="26"/>
          <w:szCs w:val="26"/>
        </w:rPr>
        <w:t xml:space="preserve"> can be situations in </w:t>
      </w:r>
      <w:r w:rsidRPr="00C821A7">
        <w:rPr>
          <w:rFonts w:ascii="Times New Roman" w:hAnsi="Times New Roman" w:cs="Times New Roman"/>
          <w:sz w:val="26"/>
          <w:szCs w:val="26"/>
        </w:rPr>
        <w:lastRenderedPageBreak/>
        <w:t>which a plaintiff has a cause of action for both a private nuisance and a public nuisance arising out of the same conduct.</w:t>
      </w:r>
      <w:r w:rsidR="006B0CD0" w:rsidRPr="00C821A7">
        <w:rPr>
          <w:rFonts w:ascii="Times New Roman" w:hAnsi="Times New Roman" w:cs="Times New Roman"/>
          <w:sz w:val="26"/>
          <w:szCs w:val="26"/>
          <w:vertAlign w:val="superscript"/>
        </w:rPr>
        <w:t>14</w:t>
      </w:r>
    </w:p>
    <w:p w:rsidR="001F1E6B" w:rsidRPr="00C821A7" w:rsidRDefault="007D7F0E" w:rsidP="001F1E6B">
      <w:pPr>
        <w:pStyle w:val="NoSpacing"/>
        <w:spacing w:line="480" w:lineRule="auto"/>
        <w:ind w:firstLine="450"/>
        <w:jc w:val="both"/>
        <w:rPr>
          <w:rFonts w:ascii="Times New Roman" w:hAnsi="Times New Roman" w:cs="Times New Roman"/>
          <w:sz w:val="26"/>
          <w:szCs w:val="26"/>
          <w:vertAlign w:val="superscript"/>
        </w:rPr>
      </w:pPr>
      <w:r w:rsidRPr="00C821A7">
        <w:rPr>
          <w:rFonts w:ascii="Times New Roman" w:hAnsi="Times New Roman" w:cs="Times New Roman"/>
          <w:sz w:val="26"/>
          <w:szCs w:val="26"/>
        </w:rPr>
        <w:t xml:space="preserve">After determining that a nuisance is present and the harm is substantial, it </w:t>
      </w:r>
      <w:proofErr w:type="gramStart"/>
      <w:r w:rsidRPr="00C821A7">
        <w:rPr>
          <w:rFonts w:ascii="Times New Roman" w:hAnsi="Times New Roman" w:cs="Times New Roman"/>
          <w:sz w:val="26"/>
          <w:szCs w:val="26"/>
        </w:rPr>
        <w:t>must be established</w:t>
      </w:r>
      <w:proofErr w:type="gramEnd"/>
      <w:r w:rsidRPr="00C821A7">
        <w:rPr>
          <w:rFonts w:ascii="Times New Roman" w:hAnsi="Times New Roman" w:cs="Times New Roman"/>
          <w:sz w:val="26"/>
          <w:szCs w:val="26"/>
        </w:rPr>
        <w:t xml:space="preserve"> whether conduct liable for creating the nuisance also exists. Liability is founded on the wrongful act of creating or maintaining the nuisance.</w:t>
      </w:r>
      <w:r w:rsidR="006B0CD0" w:rsidRPr="00C821A7">
        <w:rPr>
          <w:rFonts w:ascii="Times New Roman" w:hAnsi="Times New Roman" w:cs="Times New Roman"/>
          <w:sz w:val="26"/>
          <w:szCs w:val="26"/>
          <w:vertAlign w:val="superscript"/>
        </w:rPr>
        <w:t>15</w:t>
      </w:r>
      <w:r w:rsidRPr="00C821A7">
        <w:rPr>
          <w:rFonts w:ascii="Times New Roman" w:hAnsi="Times New Roman" w:cs="Times New Roman"/>
          <w:sz w:val="26"/>
          <w:szCs w:val="26"/>
        </w:rPr>
        <w:t xml:space="preserve"> Specifically, creating a nuisance </w:t>
      </w:r>
      <w:r w:rsidR="006E24A5" w:rsidRPr="00C821A7">
        <w:rPr>
          <w:rFonts w:ascii="Times New Roman" w:hAnsi="Times New Roman" w:cs="Times New Roman"/>
          <w:sz w:val="26"/>
          <w:szCs w:val="26"/>
        </w:rPr>
        <w:t xml:space="preserve">is </w:t>
      </w:r>
      <w:r w:rsidR="00032C02" w:rsidRPr="00C821A7">
        <w:rPr>
          <w:rFonts w:ascii="Times New Roman" w:hAnsi="Times New Roman" w:cs="Times New Roman"/>
          <w:sz w:val="26"/>
          <w:szCs w:val="26"/>
        </w:rPr>
        <w:t>referred</w:t>
      </w:r>
      <w:r w:rsidR="006E24A5" w:rsidRPr="00C821A7">
        <w:rPr>
          <w:rFonts w:ascii="Times New Roman" w:hAnsi="Times New Roman" w:cs="Times New Roman"/>
          <w:sz w:val="26"/>
          <w:szCs w:val="26"/>
        </w:rPr>
        <w:t xml:space="preserve"> to as liability for an “act,”</w:t>
      </w:r>
      <w:r w:rsidRPr="00C821A7">
        <w:rPr>
          <w:rFonts w:ascii="Times New Roman" w:hAnsi="Times New Roman" w:cs="Times New Roman"/>
          <w:sz w:val="26"/>
          <w:szCs w:val="26"/>
        </w:rPr>
        <w:t xml:space="preserve"> while maintaining a nuisance i</w:t>
      </w:r>
      <w:r w:rsidR="006E24A5" w:rsidRPr="00C821A7">
        <w:rPr>
          <w:rFonts w:ascii="Times New Roman" w:hAnsi="Times New Roman" w:cs="Times New Roman"/>
          <w:sz w:val="26"/>
          <w:szCs w:val="26"/>
        </w:rPr>
        <w:t>s described as liability for a “failure to act.”</w:t>
      </w:r>
      <w:r w:rsidR="006B0CD0" w:rsidRPr="00C821A7">
        <w:rPr>
          <w:rFonts w:ascii="Times New Roman" w:hAnsi="Times New Roman" w:cs="Times New Roman"/>
          <w:sz w:val="26"/>
          <w:szCs w:val="26"/>
          <w:vertAlign w:val="superscript"/>
        </w:rPr>
        <w:t>16</w:t>
      </w:r>
      <w:r w:rsidR="00C54C78" w:rsidRPr="00C821A7">
        <w:rPr>
          <w:rFonts w:ascii="Times New Roman" w:hAnsi="Times New Roman" w:cs="Times New Roman"/>
          <w:sz w:val="26"/>
          <w:szCs w:val="26"/>
          <w:vertAlign w:val="superscript"/>
        </w:rPr>
        <w:t xml:space="preserve"> </w:t>
      </w:r>
    </w:p>
    <w:p w:rsidR="00C54C78" w:rsidRPr="00C821A7" w:rsidRDefault="006D4B8C" w:rsidP="001F1E6B">
      <w:pPr>
        <w:pStyle w:val="NoSpacing"/>
        <w:spacing w:line="480" w:lineRule="auto"/>
        <w:ind w:firstLine="450"/>
        <w:jc w:val="both"/>
        <w:rPr>
          <w:rFonts w:ascii="Times New Roman" w:hAnsi="Times New Roman" w:cs="Times New Roman"/>
          <w:sz w:val="26"/>
          <w:szCs w:val="26"/>
          <w:vertAlign w:val="superscript"/>
        </w:rPr>
      </w:pPr>
      <w:r w:rsidRPr="00C821A7">
        <w:rPr>
          <w:rFonts w:ascii="Times New Roman" w:hAnsi="Times New Roman" w:cs="Times New Roman"/>
          <w:sz w:val="26"/>
          <w:szCs w:val="26"/>
        </w:rPr>
        <w:t xml:space="preserve">The </w:t>
      </w:r>
      <w:proofErr w:type="gramStart"/>
      <w:r w:rsidRPr="00C821A7">
        <w:rPr>
          <w:rFonts w:ascii="Times New Roman" w:hAnsi="Times New Roman" w:cs="Times New Roman"/>
          <w:sz w:val="26"/>
          <w:szCs w:val="26"/>
        </w:rPr>
        <w:t>conduct giving</w:t>
      </w:r>
      <w:proofErr w:type="gramEnd"/>
      <w:r w:rsidRPr="00C821A7">
        <w:rPr>
          <w:rFonts w:ascii="Times New Roman" w:hAnsi="Times New Roman" w:cs="Times New Roman"/>
          <w:sz w:val="26"/>
          <w:szCs w:val="26"/>
        </w:rPr>
        <w:t xml:space="preserve"> rise to liability for creating or maintaining a nuisance can be either </w:t>
      </w:r>
      <w:r w:rsidRPr="00C821A7">
        <w:rPr>
          <w:rFonts w:ascii="Times New Roman" w:hAnsi="Times New Roman" w:cs="Times New Roman"/>
          <w:sz w:val="26"/>
          <w:szCs w:val="26"/>
          <w:u w:val="single"/>
        </w:rPr>
        <w:t>intentional</w:t>
      </w:r>
      <w:r w:rsidRPr="00C821A7">
        <w:rPr>
          <w:rFonts w:ascii="Times New Roman" w:hAnsi="Times New Roman" w:cs="Times New Roman"/>
          <w:sz w:val="26"/>
          <w:szCs w:val="26"/>
        </w:rPr>
        <w:t xml:space="preserve"> or </w:t>
      </w:r>
      <w:r w:rsidRPr="00C821A7">
        <w:rPr>
          <w:rFonts w:ascii="Times New Roman" w:hAnsi="Times New Roman" w:cs="Times New Roman"/>
          <w:sz w:val="26"/>
          <w:szCs w:val="26"/>
          <w:u w:val="single"/>
        </w:rPr>
        <w:t>unintentional</w:t>
      </w:r>
      <w:r w:rsidRPr="00C821A7">
        <w:rPr>
          <w:rFonts w:ascii="Times New Roman" w:hAnsi="Times New Roman" w:cs="Times New Roman"/>
          <w:sz w:val="26"/>
          <w:szCs w:val="26"/>
        </w:rPr>
        <w:t xml:space="preserve">. A nuisance is the result of intentional conduct if the defendant either (a) acts </w:t>
      </w:r>
      <w:proofErr w:type="gramStart"/>
      <w:r w:rsidRPr="00C821A7">
        <w:rPr>
          <w:rFonts w:ascii="Times New Roman" w:hAnsi="Times New Roman" w:cs="Times New Roman"/>
          <w:sz w:val="26"/>
          <w:szCs w:val="26"/>
        </w:rPr>
        <w:t>for the purpose of</w:t>
      </w:r>
      <w:proofErr w:type="gramEnd"/>
      <w:r w:rsidRPr="00C821A7">
        <w:rPr>
          <w:rFonts w:ascii="Times New Roman" w:hAnsi="Times New Roman" w:cs="Times New Roman"/>
          <w:sz w:val="26"/>
          <w:szCs w:val="26"/>
        </w:rPr>
        <w:t xml:space="preserve"> causing it, or (b) knows that it is resulting or is substantially certain to result from his</w:t>
      </w:r>
      <w:r w:rsidR="0078682B" w:rsidRPr="00C821A7">
        <w:rPr>
          <w:rFonts w:ascii="Times New Roman" w:hAnsi="Times New Roman" w:cs="Times New Roman"/>
          <w:sz w:val="26"/>
          <w:szCs w:val="26"/>
        </w:rPr>
        <w:t xml:space="preserve"> or her</w:t>
      </w:r>
      <w:r w:rsidRPr="00C821A7">
        <w:rPr>
          <w:rFonts w:ascii="Times New Roman" w:hAnsi="Times New Roman" w:cs="Times New Roman"/>
          <w:sz w:val="26"/>
          <w:szCs w:val="26"/>
        </w:rPr>
        <w:t xml:space="preserve"> conduct. </w:t>
      </w:r>
      <w:proofErr w:type="gramStart"/>
      <w:r w:rsidRPr="00C821A7">
        <w:rPr>
          <w:rFonts w:ascii="Times New Roman" w:hAnsi="Times New Roman" w:cs="Times New Roman"/>
          <w:sz w:val="26"/>
          <w:szCs w:val="26"/>
        </w:rPr>
        <w:t>It is not necessary that the defendant act with a malicious intent to harm the plaintiff; the defendant need only realize that the nuisance is substantially certain to result from his</w:t>
      </w:r>
      <w:r w:rsidR="0078682B" w:rsidRPr="00C821A7">
        <w:rPr>
          <w:rFonts w:ascii="Times New Roman" w:hAnsi="Times New Roman" w:cs="Times New Roman"/>
          <w:sz w:val="26"/>
          <w:szCs w:val="26"/>
        </w:rPr>
        <w:t xml:space="preserve"> or her</w:t>
      </w:r>
      <w:r w:rsidRPr="00C821A7">
        <w:rPr>
          <w:rFonts w:ascii="Times New Roman" w:hAnsi="Times New Roman" w:cs="Times New Roman"/>
          <w:sz w:val="26"/>
          <w:szCs w:val="26"/>
        </w:rPr>
        <w:t xml:space="preserve"> conduct, even if the conduct itself has a laudable purpose.</w:t>
      </w:r>
      <w:r w:rsidR="006B0CD0" w:rsidRPr="00C821A7">
        <w:rPr>
          <w:rFonts w:ascii="Times New Roman" w:hAnsi="Times New Roman" w:cs="Times New Roman"/>
          <w:sz w:val="26"/>
          <w:szCs w:val="26"/>
          <w:vertAlign w:val="superscript"/>
        </w:rPr>
        <w:t>17</w:t>
      </w:r>
      <w:r w:rsidR="001F1E6B" w:rsidRPr="00C821A7">
        <w:rPr>
          <w:rFonts w:ascii="Times New Roman" w:hAnsi="Times New Roman" w:cs="Times New Roman"/>
          <w:sz w:val="26"/>
          <w:szCs w:val="26"/>
        </w:rPr>
        <w:t xml:space="preserve"> When a nuisance is alleged to fall under the second category of intentional conduct, “the ‘knowledge’ requirement refers to knowledge that the condition or activity is causing harm to another’s interest in the use and enjoyment of land.”</w:t>
      </w:r>
      <w:proofErr w:type="gramEnd"/>
      <w:r w:rsidR="006B0CD0" w:rsidRPr="00C821A7">
        <w:rPr>
          <w:rFonts w:ascii="Times New Roman" w:hAnsi="Times New Roman" w:cs="Times New Roman"/>
          <w:sz w:val="26"/>
          <w:szCs w:val="26"/>
          <w:vertAlign w:val="superscript"/>
        </w:rPr>
        <w:t>18</w:t>
      </w:r>
    </w:p>
    <w:p w:rsidR="00054572" w:rsidRPr="00C821A7" w:rsidRDefault="00054572" w:rsidP="00054572">
      <w:pPr>
        <w:pStyle w:val="NoSpacing"/>
        <w:spacing w:line="480" w:lineRule="auto"/>
        <w:ind w:firstLine="450"/>
        <w:jc w:val="both"/>
        <w:rPr>
          <w:rFonts w:ascii="Times New Roman" w:hAnsi="Times New Roman" w:cs="Times New Roman"/>
          <w:sz w:val="26"/>
          <w:szCs w:val="26"/>
          <w:vertAlign w:val="superscript"/>
        </w:rPr>
      </w:pPr>
      <w:proofErr w:type="gramStart"/>
      <w:r w:rsidRPr="00C821A7">
        <w:rPr>
          <w:rFonts w:ascii="Times New Roman" w:hAnsi="Times New Roman" w:cs="Times New Roman"/>
          <w:sz w:val="26"/>
          <w:szCs w:val="26"/>
        </w:rPr>
        <w:t>In cases where the defendant engages in intentional conduct that severely affects a neighbor’s peaceful use and enjoyment of their property, a finding of intentional but unreasonable conduct—even if lawful—is sufficient.</w:t>
      </w:r>
      <w:r w:rsidR="006B0CD0" w:rsidRPr="00C821A7">
        <w:rPr>
          <w:rFonts w:ascii="Times New Roman" w:hAnsi="Times New Roman" w:cs="Times New Roman"/>
          <w:sz w:val="26"/>
          <w:szCs w:val="26"/>
          <w:vertAlign w:val="superscript"/>
        </w:rPr>
        <w:t>19</w:t>
      </w:r>
      <w:r w:rsidRPr="00C821A7">
        <w:rPr>
          <w:rFonts w:ascii="Times New Roman" w:hAnsi="Times New Roman" w:cs="Times New Roman"/>
          <w:sz w:val="26"/>
          <w:szCs w:val="26"/>
        </w:rPr>
        <w:t xml:space="preserve"> Conduct is considered unreasonable if: (a) the gravity of the harm</w:t>
      </w:r>
      <w:r w:rsidR="00056261" w:rsidRPr="00C821A7">
        <w:rPr>
          <w:rFonts w:ascii="Times New Roman" w:hAnsi="Times New Roman" w:cs="Times New Roman"/>
          <w:sz w:val="26"/>
          <w:szCs w:val="26"/>
          <w:vertAlign w:val="superscript"/>
        </w:rPr>
        <w:t>2</w:t>
      </w:r>
      <w:r w:rsidR="006B0CD0" w:rsidRPr="00C821A7">
        <w:rPr>
          <w:rFonts w:ascii="Times New Roman" w:hAnsi="Times New Roman" w:cs="Times New Roman"/>
          <w:sz w:val="26"/>
          <w:szCs w:val="26"/>
          <w:vertAlign w:val="superscript"/>
        </w:rPr>
        <w:t>0</w:t>
      </w:r>
      <w:r w:rsidRPr="00C821A7">
        <w:rPr>
          <w:rFonts w:ascii="Times New Roman" w:hAnsi="Times New Roman" w:cs="Times New Roman"/>
          <w:sz w:val="26"/>
          <w:szCs w:val="26"/>
        </w:rPr>
        <w:t xml:space="preserve"> outweighs the utility of the defendant’s </w:t>
      </w:r>
      <w:r w:rsidRPr="00C821A7">
        <w:rPr>
          <w:rFonts w:ascii="Times New Roman" w:hAnsi="Times New Roman" w:cs="Times New Roman"/>
          <w:sz w:val="26"/>
          <w:szCs w:val="26"/>
        </w:rPr>
        <w:lastRenderedPageBreak/>
        <w:t>conduct</w:t>
      </w:r>
      <w:r w:rsidR="006B0CD0" w:rsidRPr="00C821A7">
        <w:rPr>
          <w:rFonts w:ascii="Times New Roman" w:hAnsi="Times New Roman" w:cs="Times New Roman"/>
          <w:sz w:val="26"/>
          <w:szCs w:val="26"/>
          <w:vertAlign w:val="superscript"/>
        </w:rPr>
        <w:t>21</w:t>
      </w:r>
      <w:r w:rsidRPr="00C821A7">
        <w:rPr>
          <w:rFonts w:ascii="Times New Roman" w:hAnsi="Times New Roman" w:cs="Times New Roman"/>
          <w:sz w:val="26"/>
          <w:szCs w:val="26"/>
        </w:rPr>
        <w:t>, or (b) the harm caused by the conduct is serious, and the financial burden of compensating for this and similar harm would not render the continuation of the conduct infeasible.</w:t>
      </w:r>
      <w:r w:rsidRPr="00C821A7">
        <w:rPr>
          <w:rFonts w:ascii="Times New Roman" w:hAnsi="Times New Roman" w:cs="Times New Roman"/>
          <w:sz w:val="26"/>
          <w:szCs w:val="26"/>
          <w:vertAlign w:val="superscript"/>
        </w:rPr>
        <w:t>2</w:t>
      </w:r>
      <w:r w:rsidR="006B0CD0" w:rsidRPr="00C821A7">
        <w:rPr>
          <w:rFonts w:ascii="Times New Roman" w:hAnsi="Times New Roman" w:cs="Times New Roman"/>
          <w:sz w:val="26"/>
          <w:szCs w:val="26"/>
          <w:vertAlign w:val="superscript"/>
        </w:rPr>
        <w:t>2</w:t>
      </w:r>
      <w:proofErr w:type="gramEnd"/>
    </w:p>
    <w:p w:rsidR="006D4B8C" w:rsidRPr="00C821A7" w:rsidRDefault="006D4B8C" w:rsidP="00556C93">
      <w:pPr>
        <w:pStyle w:val="NoSpacing"/>
        <w:spacing w:line="480" w:lineRule="auto"/>
        <w:ind w:firstLine="450"/>
        <w:jc w:val="both"/>
        <w:rPr>
          <w:rFonts w:ascii="Times New Roman" w:hAnsi="Times New Roman" w:cs="Times New Roman"/>
          <w:sz w:val="26"/>
          <w:szCs w:val="26"/>
          <w:vertAlign w:val="superscript"/>
        </w:rPr>
      </w:pPr>
      <w:r w:rsidRPr="00C821A7">
        <w:rPr>
          <w:rFonts w:ascii="Times New Roman" w:hAnsi="Times New Roman" w:cs="Times New Roman"/>
          <w:sz w:val="26"/>
          <w:szCs w:val="26"/>
        </w:rPr>
        <w:t>Liability can also arise from unintentional conduct. Where the plaintiff alleges the defendant unintentionally maintained or failed to abate a nuisance, the traditional rules for liability based on negligent conduct apply.</w:t>
      </w:r>
      <w:r w:rsidR="006B0CD0" w:rsidRPr="00C821A7">
        <w:rPr>
          <w:rFonts w:ascii="Times New Roman" w:hAnsi="Times New Roman" w:cs="Times New Roman"/>
          <w:sz w:val="26"/>
          <w:szCs w:val="26"/>
          <w:vertAlign w:val="superscript"/>
        </w:rPr>
        <w:t>23</w:t>
      </w:r>
      <w:r w:rsidRPr="00C821A7">
        <w:rPr>
          <w:rFonts w:ascii="Times New Roman" w:hAnsi="Times New Roman" w:cs="Times New Roman"/>
          <w:sz w:val="26"/>
          <w:szCs w:val="26"/>
        </w:rPr>
        <w:t xml:space="preserve"> </w:t>
      </w:r>
      <w:proofErr w:type="gramStart"/>
      <w:r w:rsidR="00556C93" w:rsidRPr="00C821A7">
        <w:rPr>
          <w:rFonts w:ascii="Times New Roman" w:hAnsi="Times New Roman" w:cs="Times New Roman"/>
          <w:sz w:val="26"/>
          <w:szCs w:val="26"/>
        </w:rPr>
        <w:t>Additionally</w:t>
      </w:r>
      <w:proofErr w:type="gramEnd"/>
      <w:r w:rsidR="00556C93" w:rsidRPr="00C821A7">
        <w:rPr>
          <w:rFonts w:ascii="Times New Roman" w:hAnsi="Times New Roman" w:cs="Times New Roman"/>
          <w:sz w:val="26"/>
          <w:szCs w:val="26"/>
        </w:rPr>
        <w:t>, the plaintiff must show that the defendant had notice of the nuisance.</w:t>
      </w:r>
      <w:r w:rsidR="006B0CD0" w:rsidRPr="00C821A7">
        <w:rPr>
          <w:rFonts w:ascii="Times New Roman" w:hAnsi="Times New Roman" w:cs="Times New Roman"/>
          <w:sz w:val="26"/>
          <w:szCs w:val="26"/>
          <w:vertAlign w:val="superscript"/>
        </w:rPr>
        <w:t>24</w:t>
      </w:r>
      <w:r w:rsidR="00556C93" w:rsidRPr="00C821A7">
        <w:rPr>
          <w:rFonts w:ascii="Times New Roman" w:hAnsi="Times New Roman" w:cs="Times New Roman"/>
          <w:sz w:val="26"/>
          <w:szCs w:val="26"/>
          <w:vertAlign w:val="superscript"/>
        </w:rPr>
        <w:t xml:space="preserve"> </w:t>
      </w:r>
      <w:r w:rsidRPr="00C821A7">
        <w:rPr>
          <w:rFonts w:ascii="Times New Roman" w:hAnsi="Times New Roman" w:cs="Times New Roman"/>
          <w:sz w:val="26"/>
          <w:szCs w:val="26"/>
        </w:rPr>
        <w:t>The usual defenses in a negligence action are also available to the defendant.</w:t>
      </w:r>
      <w:r w:rsidR="006B0CD0" w:rsidRPr="00C821A7">
        <w:rPr>
          <w:rFonts w:ascii="Times New Roman" w:hAnsi="Times New Roman" w:cs="Times New Roman"/>
          <w:sz w:val="26"/>
          <w:szCs w:val="26"/>
          <w:vertAlign w:val="superscript"/>
        </w:rPr>
        <w:t>25</w:t>
      </w:r>
    </w:p>
    <w:p w:rsidR="006D4B8C" w:rsidRPr="00C821A7" w:rsidRDefault="006D4B8C" w:rsidP="006D4B8C">
      <w:pPr>
        <w:pStyle w:val="NoSpacing"/>
        <w:spacing w:line="480" w:lineRule="auto"/>
        <w:ind w:firstLine="450"/>
        <w:jc w:val="both"/>
        <w:rPr>
          <w:rFonts w:ascii="Times New Roman" w:hAnsi="Times New Roman" w:cs="Times New Roman"/>
          <w:sz w:val="26"/>
          <w:szCs w:val="26"/>
        </w:rPr>
      </w:pPr>
      <w:r w:rsidRPr="00C821A7">
        <w:rPr>
          <w:rFonts w:ascii="Times New Roman" w:hAnsi="Times New Roman" w:cs="Times New Roman"/>
          <w:sz w:val="26"/>
          <w:szCs w:val="26"/>
        </w:rPr>
        <w:t xml:space="preserve">There are situations where unintentional conduct can subject the defendant to strict liability regardless of the defendant’s negligence. The Restatement describes these cases as arising out of </w:t>
      </w:r>
      <w:proofErr w:type="gramStart"/>
      <w:r w:rsidRPr="00C821A7">
        <w:rPr>
          <w:rFonts w:ascii="Times New Roman" w:hAnsi="Times New Roman" w:cs="Times New Roman"/>
          <w:sz w:val="26"/>
          <w:szCs w:val="26"/>
        </w:rPr>
        <w:t>conduct which</w:t>
      </w:r>
      <w:proofErr w:type="gramEnd"/>
      <w:r w:rsidRPr="00C821A7">
        <w:rPr>
          <w:rFonts w:ascii="Times New Roman" w:hAnsi="Times New Roman" w:cs="Times New Roman"/>
          <w:sz w:val="26"/>
          <w:szCs w:val="26"/>
        </w:rPr>
        <w:t xml:space="preserve"> is “abnormally dangerous.”</w:t>
      </w:r>
      <w:r w:rsidR="006B0CD0" w:rsidRPr="00C821A7">
        <w:rPr>
          <w:rFonts w:ascii="Times New Roman" w:hAnsi="Times New Roman" w:cs="Times New Roman"/>
          <w:sz w:val="26"/>
          <w:szCs w:val="26"/>
          <w:vertAlign w:val="superscript"/>
        </w:rPr>
        <w:t>26</w:t>
      </w:r>
      <w:r w:rsidRPr="00C821A7">
        <w:rPr>
          <w:rFonts w:ascii="Times New Roman" w:hAnsi="Times New Roman" w:cs="Times New Roman"/>
          <w:sz w:val="26"/>
          <w:szCs w:val="26"/>
        </w:rPr>
        <w:t xml:space="preserve"> Wisconsin court decisions suggest these types of nuisances are those unintentionally “created” as opposed to “maintained” by the defendant</w:t>
      </w:r>
      <w:r w:rsidR="00D16482">
        <w:rPr>
          <w:rFonts w:ascii="Times New Roman" w:hAnsi="Times New Roman" w:cs="Times New Roman"/>
          <w:sz w:val="26"/>
          <w:szCs w:val="26"/>
        </w:rPr>
        <w:t>.</w:t>
      </w:r>
      <w:bookmarkStart w:id="0" w:name="_GoBack"/>
      <w:bookmarkEnd w:id="0"/>
      <w:r w:rsidR="006B0CD0" w:rsidRPr="00C821A7">
        <w:rPr>
          <w:rFonts w:ascii="Times New Roman" w:hAnsi="Times New Roman" w:cs="Times New Roman"/>
          <w:sz w:val="26"/>
          <w:szCs w:val="26"/>
          <w:vertAlign w:val="superscript"/>
        </w:rPr>
        <w:t>27</w:t>
      </w:r>
      <w:r w:rsidRPr="00C821A7">
        <w:rPr>
          <w:rFonts w:ascii="Times New Roman" w:hAnsi="Times New Roman" w:cs="Times New Roman"/>
          <w:sz w:val="26"/>
          <w:szCs w:val="26"/>
        </w:rPr>
        <w:t xml:space="preserve"> Examples of what the Restatement and Wisconsin reported decisions refer to by these types of nuisances include a tannery or slaughter-house in a residential area, ownership of a vicious dog and blasting activities in an inappropriate place. In these cases, liability “does not rest on the degree of care used, for that presents a question of negligence, but on the degree of danger existing even with the best of care.”</w:t>
      </w:r>
      <w:r w:rsidR="006B0CD0" w:rsidRPr="00C821A7">
        <w:rPr>
          <w:rFonts w:ascii="Times New Roman" w:hAnsi="Times New Roman" w:cs="Times New Roman"/>
          <w:sz w:val="26"/>
          <w:szCs w:val="26"/>
          <w:vertAlign w:val="superscript"/>
        </w:rPr>
        <w:t>28</w:t>
      </w:r>
      <w:r w:rsidRPr="00C821A7">
        <w:rPr>
          <w:rFonts w:ascii="Times New Roman" w:hAnsi="Times New Roman" w:cs="Times New Roman"/>
          <w:sz w:val="26"/>
          <w:szCs w:val="26"/>
        </w:rPr>
        <w:t xml:space="preserve"> In such situations, the defendant is subject to strict liability</w:t>
      </w:r>
      <w:r w:rsidR="006B0CD0" w:rsidRPr="00C821A7">
        <w:rPr>
          <w:rFonts w:ascii="Times New Roman" w:hAnsi="Times New Roman" w:cs="Times New Roman"/>
          <w:sz w:val="26"/>
          <w:szCs w:val="26"/>
          <w:vertAlign w:val="superscript"/>
        </w:rPr>
        <w:t>29</w:t>
      </w:r>
      <w:r w:rsidRPr="00C821A7">
        <w:rPr>
          <w:rFonts w:ascii="Times New Roman" w:hAnsi="Times New Roman" w:cs="Times New Roman"/>
          <w:sz w:val="26"/>
          <w:szCs w:val="26"/>
        </w:rPr>
        <w:t xml:space="preserve"> and “no question of negligence or want of liability is involved.”</w:t>
      </w:r>
      <w:r w:rsidR="006B0CD0" w:rsidRPr="00C821A7">
        <w:rPr>
          <w:rFonts w:ascii="Times New Roman" w:hAnsi="Times New Roman" w:cs="Times New Roman"/>
          <w:sz w:val="26"/>
          <w:szCs w:val="26"/>
          <w:vertAlign w:val="superscript"/>
        </w:rPr>
        <w:t>30</w:t>
      </w:r>
    </w:p>
    <w:p w:rsidR="006D4B8C" w:rsidRPr="00C821A7" w:rsidRDefault="006D4B8C" w:rsidP="00901D52">
      <w:pPr>
        <w:pStyle w:val="NoSpacing"/>
        <w:spacing w:line="480" w:lineRule="auto"/>
        <w:ind w:firstLine="450"/>
        <w:jc w:val="both"/>
        <w:rPr>
          <w:rFonts w:ascii="Times New Roman" w:hAnsi="Times New Roman" w:cs="Times New Roman"/>
          <w:sz w:val="26"/>
          <w:szCs w:val="26"/>
        </w:rPr>
      </w:pPr>
      <w:r w:rsidRPr="00C821A7">
        <w:rPr>
          <w:rFonts w:ascii="Times New Roman" w:hAnsi="Times New Roman" w:cs="Times New Roman"/>
          <w:sz w:val="26"/>
          <w:szCs w:val="26"/>
        </w:rPr>
        <w:t xml:space="preserve">The Committee determined there should be </w:t>
      </w:r>
      <w:proofErr w:type="gramStart"/>
      <w:r w:rsidRPr="00C821A7">
        <w:rPr>
          <w:rFonts w:ascii="Times New Roman" w:hAnsi="Times New Roman" w:cs="Times New Roman"/>
          <w:sz w:val="26"/>
          <w:szCs w:val="26"/>
        </w:rPr>
        <w:t>a total of six</w:t>
      </w:r>
      <w:proofErr w:type="gramEnd"/>
      <w:r w:rsidRPr="00C821A7">
        <w:rPr>
          <w:rFonts w:ascii="Times New Roman" w:hAnsi="Times New Roman" w:cs="Times New Roman"/>
          <w:sz w:val="26"/>
          <w:szCs w:val="26"/>
        </w:rPr>
        <w:t xml:space="preserve"> separate instructions covering </w:t>
      </w:r>
      <w:r w:rsidRPr="00C821A7">
        <w:rPr>
          <w:rFonts w:ascii="Times New Roman" w:hAnsi="Times New Roman" w:cs="Times New Roman"/>
          <w:sz w:val="26"/>
          <w:szCs w:val="26"/>
        </w:rPr>
        <w:lastRenderedPageBreak/>
        <w:t xml:space="preserve">the various claims for liability based on nuisance. The appropriate classification of nuisances </w:t>
      </w:r>
      <w:proofErr w:type="gramStart"/>
      <w:r w:rsidRPr="00C821A7">
        <w:rPr>
          <w:rFonts w:ascii="Times New Roman" w:hAnsi="Times New Roman" w:cs="Times New Roman"/>
          <w:sz w:val="26"/>
          <w:szCs w:val="26"/>
        </w:rPr>
        <w:t>is shown</w:t>
      </w:r>
      <w:proofErr w:type="gramEnd"/>
      <w:r w:rsidRPr="00C821A7">
        <w:rPr>
          <w:rFonts w:ascii="Times New Roman" w:hAnsi="Times New Roman" w:cs="Times New Roman"/>
          <w:sz w:val="26"/>
          <w:szCs w:val="26"/>
        </w:rPr>
        <w:t xml:space="preserve"> in the following table:</w:t>
      </w:r>
    </w:p>
    <w:tbl>
      <w:tblPr>
        <w:tblW w:w="0" w:type="auto"/>
        <w:jc w:val="center"/>
        <w:tblLayout w:type="fixed"/>
        <w:tblCellMar>
          <w:left w:w="120" w:type="dxa"/>
          <w:right w:w="120" w:type="dxa"/>
        </w:tblCellMar>
        <w:tblLook w:val="0000" w:firstRow="0" w:lastRow="0" w:firstColumn="0" w:lastColumn="0" w:noHBand="0" w:noVBand="0"/>
      </w:tblPr>
      <w:tblGrid>
        <w:gridCol w:w="2340"/>
        <w:gridCol w:w="1170"/>
        <w:gridCol w:w="1170"/>
        <w:gridCol w:w="2160"/>
        <w:gridCol w:w="1170"/>
        <w:gridCol w:w="1350"/>
      </w:tblGrid>
      <w:tr w:rsidR="00C821A7" w:rsidRPr="00C821A7" w:rsidTr="003C3CC7">
        <w:trPr>
          <w:jc w:val="center"/>
        </w:trPr>
        <w:tc>
          <w:tcPr>
            <w:tcW w:w="9360" w:type="dxa"/>
            <w:gridSpan w:val="6"/>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6"/>
                <w:szCs w:val="26"/>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22"/>
                <w:szCs w:val="22"/>
              </w:rPr>
              <w:t>CLASSIFICATION OF NUISANCES</w:t>
            </w:r>
          </w:p>
        </w:tc>
      </w:tr>
      <w:tr w:rsidR="00C821A7" w:rsidRPr="00C821A7" w:rsidTr="003C3CC7">
        <w:trPr>
          <w:jc w:val="center"/>
        </w:trPr>
        <w:tc>
          <w:tcPr>
            <w:tcW w:w="4680" w:type="dxa"/>
            <w:gridSpan w:val="3"/>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22"/>
                <w:szCs w:val="22"/>
              </w:rPr>
              <w:t>PRIVATE</w:t>
            </w:r>
          </w:p>
        </w:tc>
        <w:tc>
          <w:tcPr>
            <w:tcW w:w="4680" w:type="dxa"/>
            <w:gridSpan w:val="3"/>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22"/>
                <w:szCs w:val="22"/>
              </w:rPr>
              <w:t>PUBLIC</w:t>
            </w:r>
          </w:p>
        </w:tc>
      </w:tr>
      <w:tr w:rsidR="00C821A7" w:rsidRPr="00C821A7" w:rsidTr="003C3CC7">
        <w:trPr>
          <w:jc w:val="center"/>
        </w:trPr>
        <w:tc>
          <w:tcPr>
            <w:tcW w:w="234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20"/>
                <w:szCs w:val="20"/>
              </w:rPr>
              <w:t>INTENTIONAL</w:t>
            </w:r>
            <w:r w:rsidRPr="00C821A7">
              <w:rPr>
                <w:rFonts w:ascii="Times New Roman" w:hAnsi="Times New Roman" w:cs="Times New Roman"/>
                <w:sz w:val="22"/>
                <w:szCs w:val="22"/>
              </w:rPr>
              <w:t xml:space="preserve"> CONDUCT</w:t>
            </w:r>
          </w:p>
        </w:tc>
        <w:tc>
          <w:tcPr>
            <w:tcW w:w="2340" w:type="dxa"/>
            <w:gridSpan w:val="2"/>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20"/>
                <w:szCs w:val="20"/>
              </w:rPr>
              <w:t>UNINTENTIONAL CONDUCT</w:t>
            </w:r>
          </w:p>
        </w:tc>
        <w:tc>
          <w:tcPr>
            <w:tcW w:w="216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20"/>
                <w:szCs w:val="20"/>
              </w:rPr>
              <w:t>INTENTIONAL CONDUCT</w:t>
            </w:r>
          </w:p>
        </w:tc>
        <w:tc>
          <w:tcPr>
            <w:tcW w:w="2520" w:type="dxa"/>
            <w:gridSpan w:val="2"/>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20"/>
                <w:szCs w:val="20"/>
              </w:rPr>
              <w:t>UNINTENTIONAL CONDUCT</w:t>
            </w:r>
          </w:p>
        </w:tc>
      </w:tr>
      <w:tr w:rsidR="006D4B8C" w:rsidRPr="00C821A7" w:rsidTr="003C3CC7">
        <w:trPr>
          <w:trHeight w:hRule="exact" w:val="998"/>
          <w:jc w:val="center"/>
        </w:trPr>
        <w:tc>
          <w:tcPr>
            <w:tcW w:w="234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cs="Times New Roman"/>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18"/>
                <w:szCs w:val="18"/>
              </w:rPr>
            </w:pPr>
            <w:r w:rsidRPr="00C821A7">
              <w:rPr>
                <w:rFonts w:ascii="Times New Roman" w:hAnsi="Times New Roman" w:cs="Times New Roman"/>
                <w:sz w:val="18"/>
                <w:szCs w:val="18"/>
              </w:rPr>
              <w:t>Created by/</w:t>
            </w: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18"/>
                <w:szCs w:val="18"/>
              </w:rPr>
              <w:t>abnormally dangerous activity</w:t>
            </w:r>
          </w:p>
        </w:tc>
        <w:tc>
          <w:tcPr>
            <w:tcW w:w="117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cs="Times New Roman"/>
                <w:sz w:val="22"/>
                <w:szCs w:val="22"/>
              </w:rPr>
            </w:pPr>
            <w:r w:rsidRPr="00C821A7">
              <w:rPr>
                <w:rFonts w:ascii="Times New Roman" w:hAnsi="Times New Roman" w:cs="Times New Roman"/>
                <w:sz w:val="18"/>
                <w:szCs w:val="18"/>
              </w:rPr>
              <w:t>Negligence</w:t>
            </w:r>
          </w:p>
        </w:tc>
        <w:tc>
          <w:tcPr>
            <w:tcW w:w="216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cs="Times New Roman"/>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18"/>
                <w:szCs w:val="18"/>
              </w:rPr>
            </w:pPr>
            <w:r w:rsidRPr="00C821A7">
              <w:rPr>
                <w:rFonts w:ascii="Times New Roman" w:hAnsi="Times New Roman" w:cs="Times New Roman"/>
                <w:sz w:val="18"/>
                <w:szCs w:val="18"/>
              </w:rPr>
              <w:t>Created by/</w:t>
            </w: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cs="Times New Roman"/>
                <w:sz w:val="22"/>
                <w:szCs w:val="22"/>
              </w:rPr>
            </w:pPr>
            <w:r w:rsidRPr="00C821A7">
              <w:rPr>
                <w:rFonts w:ascii="Times New Roman" w:hAnsi="Times New Roman" w:cs="Times New Roman"/>
                <w:sz w:val="18"/>
                <w:szCs w:val="18"/>
              </w:rPr>
              <w:t>abnormally dangerous activity</w:t>
            </w:r>
          </w:p>
        </w:tc>
        <w:tc>
          <w:tcPr>
            <w:tcW w:w="1350" w:type="dxa"/>
            <w:tcBorders>
              <w:top w:val="single" w:sz="7" w:space="0" w:color="000000"/>
              <w:left w:val="single" w:sz="7" w:space="0" w:color="000000"/>
              <w:bottom w:val="single" w:sz="7" w:space="0" w:color="000000"/>
              <w:right w:val="single" w:sz="7" w:space="0" w:color="000000"/>
            </w:tcBorders>
          </w:tcPr>
          <w:p w:rsidR="006D4B8C" w:rsidRPr="00C821A7" w:rsidRDefault="006D4B8C" w:rsidP="003C3CC7">
            <w:pPr>
              <w:spacing w:line="120" w:lineRule="exact"/>
              <w:rPr>
                <w:rFonts w:ascii="Times New Roman" w:hAnsi="Times New Roman" w:cs="Times New Roman"/>
                <w:sz w:val="22"/>
                <w:szCs w:val="22"/>
              </w:rPr>
            </w:pPr>
          </w:p>
          <w:p w:rsidR="006D4B8C" w:rsidRPr="00C821A7" w:rsidRDefault="006D4B8C" w:rsidP="003C3C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cs="Times New Roman"/>
                <w:sz w:val="22"/>
                <w:szCs w:val="22"/>
              </w:rPr>
            </w:pPr>
            <w:r w:rsidRPr="00C821A7">
              <w:rPr>
                <w:rFonts w:ascii="Times New Roman" w:hAnsi="Times New Roman" w:cs="Times New Roman"/>
                <w:sz w:val="18"/>
                <w:szCs w:val="18"/>
              </w:rPr>
              <w:t>Negligence</w:t>
            </w:r>
          </w:p>
        </w:tc>
      </w:tr>
    </w:tbl>
    <w:p w:rsidR="006D4B8C" w:rsidRPr="00C821A7" w:rsidRDefault="006D4B8C" w:rsidP="006D4B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2"/>
          <w:szCs w:val="22"/>
        </w:rPr>
      </w:pPr>
    </w:p>
    <w:p w:rsidR="006D4B8C" w:rsidRPr="00C821A7" w:rsidRDefault="006D4B8C" w:rsidP="00C065EF">
      <w:pPr>
        <w:pStyle w:val="NoSpacing"/>
        <w:spacing w:line="480" w:lineRule="auto"/>
        <w:ind w:firstLine="450"/>
        <w:jc w:val="both"/>
        <w:rPr>
          <w:sz w:val="26"/>
          <w:szCs w:val="26"/>
        </w:rPr>
      </w:pPr>
      <w:r w:rsidRPr="00C821A7">
        <w:rPr>
          <w:sz w:val="26"/>
          <w:szCs w:val="26"/>
        </w:rPr>
        <w:t>The instructions differentiate between claims for private and public nuisance. Within each of those classifications, there are separate instructions depending on whether the conduct involved is alleged to be intentional or unintentional. Finally, the instructions involving unintentional conduct differentiate between claims alleging negligence and claims alleging the conduct of an abnormally dangerous activity for which the defendant is strictly liable.</w:t>
      </w:r>
    </w:p>
    <w:p w:rsidR="006D4B8C" w:rsidRPr="00C821A7" w:rsidRDefault="006D4B8C" w:rsidP="00C065EF">
      <w:pPr>
        <w:pStyle w:val="NoSpacing"/>
        <w:spacing w:line="480" w:lineRule="auto"/>
        <w:jc w:val="both"/>
        <w:rPr>
          <w:sz w:val="26"/>
          <w:szCs w:val="26"/>
        </w:rPr>
      </w:pPr>
    </w:p>
    <w:p w:rsidR="006D4B8C" w:rsidRPr="00C821A7" w:rsidRDefault="006D4B8C" w:rsidP="00C065EF">
      <w:pPr>
        <w:pStyle w:val="NoSpacing"/>
        <w:spacing w:line="480" w:lineRule="auto"/>
        <w:jc w:val="both"/>
        <w:rPr>
          <w:sz w:val="26"/>
          <w:szCs w:val="26"/>
        </w:rPr>
      </w:pPr>
      <w:r w:rsidRPr="00C821A7">
        <w:rPr>
          <w:b/>
          <w:sz w:val="26"/>
          <w:szCs w:val="26"/>
        </w:rPr>
        <w:t>PERMANENT VS. CONTINUING NUISANCES</w:t>
      </w:r>
      <w:r w:rsidRPr="00C821A7">
        <w:rPr>
          <w:sz w:val="26"/>
          <w:szCs w:val="26"/>
        </w:rPr>
        <w:t xml:space="preserve"> </w:t>
      </w:r>
    </w:p>
    <w:p w:rsidR="006D4B8C" w:rsidRPr="00C821A7" w:rsidRDefault="006D4B8C" w:rsidP="00C065EF">
      <w:pPr>
        <w:pStyle w:val="NoSpacing"/>
        <w:spacing w:line="480" w:lineRule="auto"/>
        <w:ind w:firstLine="450"/>
        <w:jc w:val="both"/>
        <w:rPr>
          <w:sz w:val="26"/>
          <w:szCs w:val="26"/>
          <w:vertAlign w:val="superscript"/>
        </w:rPr>
      </w:pPr>
      <w:r w:rsidRPr="00C821A7">
        <w:rPr>
          <w:sz w:val="26"/>
          <w:szCs w:val="26"/>
        </w:rPr>
        <w:t>Within the broader classifications of “public” and “private” nuisances, two distinct types are recognized: permanent and continuing. Determining whether a nuisance claim is permanent or continuing is a question of law, not of fact.</w:t>
      </w:r>
      <w:r w:rsidR="006B0CD0" w:rsidRPr="00C821A7">
        <w:rPr>
          <w:sz w:val="26"/>
          <w:szCs w:val="26"/>
          <w:vertAlign w:val="superscript"/>
        </w:rPr>
        <w:t>31</w:t>
      </w:r>
      <w:r w:rsidRPr="00C821A7">
        <w:rPr>
          <w:sz w:val="26"/>
          <w:szCs w:val="26"/>
        </w:rPr>
        <w:t xml:space="preserve"> </w:t>
      </w:r>
      <w:proofErr w:type="gramStart"/>
      <w:r w:rsidRPr="00C821A7">
        <w:rPr>
          <w:sz w:val="26"/>
          <w:szCs w:val="26"/>
        </w:rPr>
        <w:t>Although</w:t>
      </w:r>
      <w:proofErr w:type="gramEnd"/>
      <w:r w:rsidRPr="00C821A7">
        <w:rPr>
          <w:sz w:val="26"/>
          <w:szCs w:val="26"/>
        </w:rPr>
        <w:t xml:space="preserve"> the Wisconsin courts have not extensively addressed the distinction between these types, the Wisconsin Court of Appeals has provided some guidance, drawing on decisions from other jurisdictions.</w:t>
      </w:r>
      <w:r w:rsidR="006B0CD0" w:rsidRPr="00C821A7">
        <w:rPr>
          <w:sz w:val="26"/>
          <w:szCs w:val="26"/>
          <w:vertAlign w:val="superscript"/>
        </w:rPr>
        <w:t>32</w:t>
      </w:r>
    </w:p>
    <w:p w:rsidR="006D4B8C" w:rsidRPr="00C821A7" w:rsidRDefault="006D4B8C" w:rsidP="00C065EF">
      <w:pPr>
        <w:pStyle w:val="NoSpacing"/>
        <w:spacing w:line="480" w:lineRule="auto"/>
        <w:ind w:firstLine="450"/>
        <w:jc w:val="both"/>
        <w:rPr>
          <w:sz w:val="26"/>
          <w:szCs w:val="26"/>
        </w:rPr>
      </w:pPr>
      <w:r w:rsidRPr="00C821A7">
        <w:rPr>
          <w:sz w:val="26"/>
          <w:szCs w:val="26"/>
        </w:rPr>
        <w:t xml:space="preserve">A permanent nuisance is defined as one “of a type where ‘by one act a permanent </w:t>
      </w:r>
      <w:r w:rsidRPr="00C821A7">
        <w:rPr>
          <w:sz w:val="26"/>
          <w:szCs w:val="26"/>
        </w:rPr>
        <w:lastRenderedPageBreak/>
        <w:t>injury is done,’ and damages are assessed once for all.”</w:t>
      </w:r>
      <w:proofErr w:type="gramStart"/>
      <w:r w:rsidR="006B0CD0" w:rsidRPr="00C821A7">
        <w:rPr>
          <w:sz w:val="26"/>
          <w:szCs w:val="26"/>
          <w:vertAlign w:val="superscript"/>
        </w:rPr>
        <w:t>33</w:t>
      </w:r>
      <w:proofErr w:type="gramEnd"/>
      <w:r w:rsidRPr="00C821A7">
        <w:rPr>
          <w:sz w:val="26"/>
          <w:szCs w:val="26"/>
        </w:rPr>
        <w:t xml:space="preserve"> Furthermore, “Damages are not dependent upon any subsequent use of the property but are complete when the nuisance comes into existence.”</w:t>
      </w:r>
      <w:r w:rsidR="006B0CD0" w:rsidRPr="00C821A7">
        <w:rPr>
          <w:sz w:val="26"/>
          <w:szCs w:val="26"/>
          <w:vertAlign w:val="superscript"/>
        </w:rPr>
        <w:t>34</w:t>
      </w:r>
      <w:r w:rsidRPr="00C821A7">
        <w:rPr>
          <w:sz w:val="26"/>
          <w:szCs w:val="26"/>
        </w:rPr>
        <w:t xml:space="preserve"> Examples of permanent nuisances include solid structures such as a building encroaching on the plaintiff's land, a steam railroad operating over the plaintiff's land, or a street regrade for a rail system.</w:t>
      </w:r>
      <w:r w:rsidR="006B0CD0" w:rsidRPr="00C821A7">
        <w:rPr>
          <w:sz w:val="26"/>
          <w:szCs w:val="26"/>
          <w:vertAlign w:val="superscript"/>
        </w:rPr>
        <w:t>35</w:t>
      </w:r>
      <w:r w:rsidRPr="00C821A7">
        <w:rPr>
          <w:sz w:val="26"/>
          <w:szCs w:val="26"/>
        </w:rPr>
        <w:t xml:space="preserve"> To recover for a permanent nuisance, plaintiffs ordinarily are required to bring one action for all past, present and future damage within the statutory period.</w:t>
      </w:r>
    </w:p>
    <w:p w:rsidR="00C065EF" w:rsidRPr="00C821A7" w:rsidRDefault="006D4B8C" w:rsidP="00B11DCD">
      <w:pPr>
        <w:pStyle w:val="NoSpacing"/>
        <w:spacing w:line="480" w:lineRule="auto"/>
        <w:ind w:firstLine="450"/>
        <w:jc w:val="both"/>
        <w:rPr>
          <w:sz w:val="26"/>
          <w:szCs w:val="26"/>
        </w:rPr>
      </w:pPr>
      <w:r w:rsidRPr="00C821A7">
        <w:rPr>
          <w:sz w:val="26"/>
          <w:szCs w:val="26"/>
        </w:rPr>
        <w:t>Continuing nuisances, on the other hand, involve ongoing or repeated disturbances or harm.</w:t>
      </w:r>
      <w:r w:rsidRPr="00C821A7">
        <w:rPr>
          <w:sz w:val="26"/>
          <w:szCs w:val="26"/>
          <w:vertAlign w:val="superscript"/>
        </w:rPr>
        <w:t xml:space="preserve"> </w:t>
      </w:r>
      <w:r w:rsidR="003B6CBF" w:rsidRPr="00C821A7">
        <w:rPr>
          <w:sz w:val="26"/>
          <w:szCs w:val="26"/>
        </w:rPr>
        <w:t>T</w:t>
      </w:r>
      <w:r w:rsidRPr="00C821A7">
        <w:rPr>
          <w:sz w:val="26"/>
          <w:szCs w:val="26"/>
        </w:rPr>
        <w:t xml:space="preserve">he </w:t>
      </w:r>
      <w:r w:rsidR="003B6CBF" w:rsidRPr="00C821A7">
        <w:rPr>
          <w:sz w:val="26"/>
          <w:szCs w:val="26"/>
        </w:rPr>
        <w:t>“</w:t>
      </w:r>
      <w:r w:rsidRPr="00C821A7">
        <w:rPr>
          <w:sz w:val="26"/>
          <w:szCs w:val="26"/>
        </w:rPr>
        <w:t>appropriate factors to consider in deciding whether a nuisance is continuing are: (1) whether it constitutes an ongoing or repeated disturbance or harm, and (2) whether it can be discontinued or abated.”</w:t>
      </w:r>
      <w:r w:rsidR="00607014" w:rsidRPr="00C821A7">
        <w:rPr>
          <w:sz w:val="26"/>
          <w:szCs w:val="26"/>
          <w:vertAlign w:val="superscript"/>
        </w:rPr>
        <w:t>36</w:t>
      </w:r>
      <w:r w:rsidRPr="00C821A7">
        <w:rPr>
          <w:sz w:val="26"/>
          <w:szCs w:val="26"/>
        </w:rPr>
        <w:t xml:space="preserve"> If both factors are present, a nuisance </w:t>
      </w:r>
      <w:proofErr w:type="gramStart"/>
      <w:r w:rsidRPr="00C821A7">
        <w:rPr>
          <w:sz w:val="26"/>
          <w:szCs w:val="26"/>
        </w:rPr>
        <w:t>is deemed</w:t>
      </w:r>
      <w:proofErr w:type="gramEnd"/>
      <w:r w:rsidRPr="00C821A7">
        <w:rPr>
          <w:sz w:val="26"/>
          <w:szCs w:val="26"/>
        </w:rPr>
        <w:t xml:space="preserve"> to be continuing. An example of a continuing nuisance is one caused by noise, vibration, or foul odor. If a nuisance is a disturbance or harm that </w:t>
      </w:r>
      <w:proofErr w:type="gramStart"/>
      <w:r w:rsidRPr="00C821A7">
        <w:rPr>
          <w:sz w:val="26"/>
          <w:szCs w:val="26"/>
        </w:rPr>
        <w:t>may be discontinued</w:t>
      </w:r>
      <w:proofErr w:type="gramEnd"/>
      <w:r w:rsidRPr="00C821A7">
        <w:rPr>
          <w:sz w:val="26"/>
          <w:szCs w:val="26"/>
        </w:rPr>
        <w:t xml:space="preserve"> at any time, it is considered continuing in character. Persons harmed by it may bring successive actions for damages until the nuisance </w:t>
      </w:r>
      <w:proofErr w:type="gramStart"/>
      <w:r w:rsidRPr="00C821A7">
        <w:rPr>
          <w:sz w:val="26"/>
          <w:szCs w:val="26"/>
        </w:rPr>
        <w:t>is abated</w:t>
      </w:r>
      <w:proofErr w:type="gramEnd"/>
      <w:r w:rsidRPr="00C821A7">
        <w:rPr>
          <w:sz w:val="26"/>
          <w:szCs w:val="26"/>
        </w:rPr>
        <w:t>.</w:t>
      </w:r>
    </w:p>
    <w:p w:rsidR="00B11DCD" w:rsidRPr="00C821A7" w:rsidRDefault="00B11DCD" w:rsidP="00C065EF">
      <w:pPr>
        <w:pStyle w:val="NoSpacing"/>
        <w:spacing w:line="480" w:lineRule="auto"/>
        <w:jc w:val="both"/>
        <w:rPr>
          <w:b/>
          <w:sz w:val="26"/>
          <w:szCs w:val="26"/>
        </w:rPr>
      </w:pPr>
    </w:p>
    <w:p w:rsidR="00C065EF" w:rsidRPr="00C821A7" w:rsidRDefault="00C065EF" w:rsidP="00C065EF">
      <w:pPr>
        <w:pStyle w:val="NoSpacing"/>
        <w:spacing w:line="480" w:lineRule="auto"/>
        <w:jc w:val="both"/>
        <w:rPr>
          <w:b/>
          <w:sz w:val="26"/>
          <w:szCs w:val="26"/>
        </w:rPr>
      </w:pPr>
      <w:r w:rsidRPr="00C821A7">
        <w:rPr>
          <w:b/>
          <w:sz w:val="26"/>
          <w:szCs w:val="26"/>
        </w:rPr>
        <w:t>STATUTE OF LIMITATIONS</w:t>
      </w:r>
    </w:p>
    <w:p w:rsidR="00C065EF" w:rsidRPr="00C821A7" w:rsidRDefault="00C065EF" w:rsidP="00185C5C">
      <w:pPr>
        <w:pStyle w:val="NoSpacing"/>
        <w:spacing w:line="480" w:lineRule="auto"/>
        <w:ind w:firstLine="450"/>
        <w:jc w:val="both"/>
        <w:rPr>
          <w:sz w:val="26"/>
          <w:szCs w:val="26"/>
        </w:rPr>
      </w:pPr>
      <w:r w:rsidRPr="00C821A7">
        <w:rPr>
          <w:sz w:val="26"/>
          <w:szCs w:val="26"/>
        </w:rPr>
        <w:t xml:space="preserve">The applicable statute of limitations </w:t>
      </w:r>
      <w:r w:rsidR="00B11DCD" w:rsidRPr="00C821A7">
        <w:rPr>
          <w:sz w:val="26"/>
          <w:szCs w:val="26"/>
        </w:rPr>
        <w:t xml:space="preserve">to recover damages for a personal injury </w:t>
      </w:r>
      <w:r w:rsidRPr="00C821A7">
        <w:rPr>
          <w:sz w:val="26"/>
          <w:szCs w:val="26"/>
        </w:rPr>
        <w:t xml:space="preserve">requires that an action must be commenced within three years, as stated in Wis. Stat. § 893.54. Similarly, an action to recover damages for an injury to real or personal property must be </w:t>
      </w:r>
      <w:r w:rsidRPr="00C821A7">
        <w:rPr>
          <w:sz w:val="26"/>
          <w:szCs w:val="26"/>
        </w:rPr>
        <w:lastRenderedPageBreak/>
        <w:t xml:space="preserve">commenced within six years after the cause of action accrues, as outlined in Wis. Stat. § 893.52(1). Wis. Stat. § 893.04 states that “[a] period of limitation within which an action may be commenced is computed from the time that the cause of action accrues until the action is commenced.” Under the discovery rule, all tort actions accrue on the date the injury </w:t>
      </w:r>
      <w:proofErr w:type="gramStart"/>
      <w:r w:rsidRPr="00C821A7">
        <w:rPr>
          <w:sz w:val="26"/>
          <w:szCs w:val="26"/>
        </w:rPr>
        <w:t>is discovered</w:t>
      </w:r>
      <w:proofErr w:type="gramEnd"/>
      <w:r w:rsidRPr="00C821A7">
        <w:rPr>
          <w:sz w:val="26"/>
          <w:szCs w:val="26"/>
        </w:rPr>
        <w:t>, or with reasonable diligence should have been discovered, whichever occurs first.</w:t>
      </w:r>
      <w:r w:rsidR="00B11DCD" w:rsidRPr="00C821A7">
        <w:rPr>
          <w:sz w:val="26"/>
          <w:szCs w:val="26"/>
          <w:vertAlign w:val="superscript"/>
        </w:rPr>
        <w:t>37</w:t>
      </w:r>
    </w:p>
    <w:p w:rsidR="00185C5C" w:rsidRPr="00C821A7" w:rsidRDefault="00185C5C" w:rsidP="00B11DCD">
      <w:pPr>
        <w:pStyle w:val="NoSpacing"/>
        <w:spacing w:line="480" w:lineRule="auto"/>
        <w:ind w:firstLine="450"/>
        <w:jc w:val="both"/>
        <w:rPr>
          <w:sz w:val="26"/>
          <w:szCs w:val="26"/>
        </w:rPr>
      </w:pPr>
      <w:r w:rsidRPr="00C821A7">
        <w:rPr>
          <w:sz w:val="26"/>
          <w:szCs w:val="26"/>
        </w:rPr>
        <w:t xml:space="preserve">Whether a nuisance claim </w:t>
      </w:r>
      <w:proofErr w:type="gramStart"/>
      <w:r w:rsidRPr="00C821A7">
        <w:rPr>
          <w:sz w:val="26"/>
          <w:szCs w:val="26"/>
        </w:rPr>
        <w:t>is barred</w:t>
      </w:r>
      <w:proofErr w:type="gramEnd"/>
      <w:r w:rsidRPr="00C821A7">
        <w:rPr>
          <w:sz w:val="26"/>
          <w:szCs w:val="26"/>
        </w:rPr>
        <w:t xml:space="preserve"> by applicable statutes of limitations depends on whether the alleged nuisance is considered permanent or continuing. An action for a permanent nuisance </w:t>
      </w:r>
      <w:proofErr w:type="gramStart"/>
      <w:r w:rsidRPr="00C821A7">
        <w:rPr>
          <w:sz w:val="26"/>
          <w:szCs w:val="26"/>
        </w:rPr>
        <w:t>must be filed</w:t>
      </w:r>
      <w:proofErr w:type="gramEnd"/>
      <w:r w:rsidRPr="00C821A7">
        <w:rPr>
          <w:sz w:val="26"/>
          <w:szCs w:val="26"/>
        </w:rPr>
        <w:t xml:space="preserve"> within the applicable statute of limitations period. In contrast, </w:t>
      </w:r>
      <w:r w:rsidR="00B11DCD" w:rsidRPr="00C821A7">
        <w:rPr>
          <w:sz w:val="26"/>
          <w:szCs w:val="26"/>
        </w:rPr>
        <w:t xml:space="preserve">although it is “well settled that every continuance of a nuisance is, in law, a new nuisance,” </w:t>
      </w:r>
      <w:r w:rsidRPr="00C821A7">
        <w:rPr>
          <w:sz w:val="26"/>
          <w:szCs w:val="26"/>
        </w:rPr>
        <w:t xml:space="preserve">an action for a continuing nuisance </w:t>
      </w:r>
      <w:proofErr w:type="gramStart"/>
      <w:r w:rsidRPr="00C821A7">
        <w:rPr>
          <w:sz w:val="26"/>
          <w:szCs w:val="26"/>
        </w:rPr>
        <w:t>may be maintained</w:t>
      </w:r>
      <w:proofErr w:type="gramEnd"/>
      <w:r w:rsidRPr="00C821A7">
        <w:rPr>
          <w:sz w:val="26"/>
          <w:szCs w:val="26"/>
        </w:rPr>
        <w:t xml:space="preserve"> even beyond the ordinary statute of limitations.</w:t>
      </w:r>
      <w:r w:rsidR="00B11DCD" w:rsidRPr="00C821A7">
        <w:rPr>
          <w:sz w:val="26"/>
          <w:szCs w:val="26"/>
          <w:vertAlign w:val="superscript"/>
        </w:rPr>
        <w:t>38</w:t>
      </w:r>
    </w:p>
    <w:p w:rsidR="006D4B8C" w:rsidRPr="00C821A7" w:rsidRDefault="006D4B8C" w:rsidP="00C065EF">
      <w:pPr>
        <w:pStyle w:val="NoSpacing"/>
      </w:pPr>
    </w:p>
    <w:p w:rsidR="00785A49" w:rsidRPr="00C821A7" w:rsidRDefault="00785A49" w:rsidP="00C065EF">
      <w:pPr>
        <w:pStyle w:val="NoSpacing"/>
        <w:rPr>
          <w:rFonts w:ascii="Times New Roman" w:hAnsi="Times New Roman" w:cs="Times New Roman"/>
        </w:rPr>
      </w:pPr>
    </w:p>
    <w:p w:rsidR="006D4B8C" w:rsidRPr="00C821A7" w:rsidRDefault="006D4B8C" w:rsidP="00C065EF">
      <w:pPr>
        <w:pStyle w:val="NoSpacing"/>
        <w:rPr>
          <w:rFonts w:ascii="Times New Roman" w:hAnsi="Times New Roman" w:cs="Times New Roman"/>
        </w:rPr>
      </w:pPr>
    </w:p>
    <w:p w:rsidR="006D4B8C" w:rsidRPr="00715B03" w:rsidRDefault="00C065EF" w:rsidP="00C065EF">
      <w:pPr>
        <w:pStyle w:val="NoSpacing"/>
        <w:rPr>
          <w:rFonts w:ascii="Times New Roman" w:hAnsi="Times New Roman" w:cs="Times New Roman"/>
          <w:b/>
          <w:sz w:val="22"/>
          <w:szCs w:val="22"/>
        </w:rPr>
      </w:pPr>
      <w:r w:rsidRPr="00715B03">
        <w:rPr>
          <w:rFonts w:ascii="Times New Roman" w:hAnsi="Times New Roman" w:cs="Times New Roman"/>
          <w:b/>
          <w:sz w:val="22"/>
          <w:szCs w:val="22"/>
        </w:rPr>
        <w:t>NOTES</w:t>
      </w:r>
    </w:p>
    <w:p w:rsidR="00C065EF" w:rsidRPr="00C821A7" w:rsidRDefault="00C065EF" w:rsidP="00C065EF"/>
    <w:p w:rsidR="00C065EF" w:rsidRPr="00C821A7" w:rsidRDefault="00C065EF" w:rsidP="00C065EF">
      <w:pPr>
        <w:pStyle w:val="ListParagraph"/>
        <w:numPr>
          <w:ilvl w:val="0"/>
          <w:numId w:val="2"/>
        </w:numPr>
        <w:tabs>
          <w:tab w:val="left" w:pos="900"/>
        </w:tabs>
        <w:ind w:left="0" w:firstLine="450"/>
        <w:jc w:val="both"/>
        <w:rPr>
          <w:rFonts w:eastAsia="PMingLiU"/>
          <w:sz w:val="22"/>
          <w:szCs w:val="22"/>
        </w:rPr>
      </w:pPr>
      <w:r w:rsidRPr="00C821A7">
        <w:rPr>
          <w:iCs/>
          <w:sz w:val="22"/>
          <w:szCs w:val="22"/>
        </w:rPr>
        <w:t xml:space="preserve">See, e.g., </w:t>
      </w:r>
      <w:r w:rsidRPr="00C821A7">
        <w:rPr>
          <w:iCs/>
          <w:sz w:val="22"/>
          <w:szCs w:val="22"/>
          <w:u w:val="single"/>
        </w:rPr>
        <w:t>Physicians Plus v. Midwest Mutual</w:t>
      </w:r>
      <w:r w:rsidRPr="00C821A7">
        <w:rPr>
          <w:sz w:val="22"/>
          <w:szCs w:val="22"/>
        </w:rPr>
        <w:t xml:space="preserve">, 254 Wis.2d 77 (2002); </w:t>
      </w:r>
      <w:r w:rsidRPr="00C821A7">
        <w:rPr>
          <w:iCs/>
          <w:sz w:val="22"/>
          <w:szCs w:val="22"/>
          <w:u w:val="single"/>
        </w:rPr>
        <w:t>Milwaukee Metropolitan Sewerage District v. City of Milwaukee</w:t>
      </w:r>
      <w:r w:rsidRPr="00C821A7">
        <w:rPr>
          <w:sz w:val="22"/>
          <w:szCs w:val="22"/>
        </w:rPr>
        <w:t xml:space="preserve">, 277 Wis.2d 635 (2005); </w:t>
      </w:r>
      <w:r w:rsidRPr="00C821A7">
        <w:rPr>
          <w:iCs/>
          <w:sz w:val="22"/>
          <w:szCs w:val="22"/>
          <w:u w:val="single"/>
        </w:rPr>
        <w:t>City of Milwaukee v. NL Industries</w:t>
      </w:r>
      <w:r w:rsidRPr="00C821A7">
        <w:rPr>
          <w:sz w:val="22"/>
          <w:szCs w:val="22"/>
        </w:rPr>
        <w:t>, 315 Wis.2d 443 (2008).</w:t>
      </w:r>
    </w:p>
    <w:p w:rsidR="00C065EF" w:rsidRPr="00C821A7" w:rsidRDefault="00C065EF" w:rsidP="00C065EF">
      <w:pPr>
        <w:pStyle w:val="ListParagraph"/>
        <w:tabs>
          <w:tab w:val="left" w:pos="900"/>
        </w:tabs>
        <w:ind w:left="450"/>
        <w:jc w:val="both"/>
        <w:rPr>
          <w:rFonts w:eastAsia="PMingLiU"/>
          <w:sz w:val="22"/>
          <w:szCs w:val="22"/>
        </w:rPr>
      </w:pPr>
    </w:p>
    <w:p w:rsidR="00C065EF" w:rsidRPr="00C821A7" w:rsidRDefault="00C065EF" w:rsidP="00C065EF">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United States v. Richards</w:t>
      </w:r>
      <w:r w:rsidRPr="00C821A7">
        <w:rPr>
          <w:rFonts w:eastAsia="PMingLiU"/>
          <w:sz w:val="22"/>
          <w:szCs w:val="22"/>
        </w:rPr>
        <w:t>, 201 Wis. 130 (1930).</w:t>
      </w:r>
    </w:p>
    <w:p w:rsidR="00C065EF" w:rsidRPr="00C821A7" w:rsidRDefault="00C065EF" w:rsidP="00C065EF">
      <w:pPr>
        <w:pStyle w:val="ListParagraph"/>
        <w:rPr>
          <w:rFonts w:eastAsia="PMingLiU"/>
          <w:sz w:val="22"/>
          <w:szCs w:val="22"/>
        </w:rPr>
      </w:pPr>
    </w:p>
    <w:p w:rsidR="00C065EF" w:rsidRPr="00C821A7" w:rsidRDefault="00C065EF" w:rsidP="00C065EF">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Physicians Plus v. Midwest Mutual</w:t>
      </w:r>
      <w:r w:rsidRPr="00C821A7">
        <w:rPr>
          <w:rFonts w:eastAsia="PMingLiU"/>
          <w:sz w:val="22"/>
          <w:szCs w:val="22"/>
        </w:rPr>
        <w:t>, 254 Wis.2d 77, 102 (2002).</w:t>
      </w:r>
    </w:p>
    <w:p w:rsidR="00C065EF" w:rsidRPr="00C821A7" w:rsidRDefault="00C065EF" w:rsidP="00C065EF">
      <w:pPr>
        <w:pStyle w:val="ListParagraph"/>
        <w:rPr>
          <w:rFonts w:eastAsia="PMingLiU"/>
          <w:sz w:val="22"/>
          <w:szCs w:val="22"/>
        </w:rPr>
      </w:pPr>
    </w:p>
    <w:p w:rsidR="00C065EF" w:rsidRPr="00C821A7" w:rsidRDefault="00C065EF" w:rsidP="00C065EF">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Restatement (Second) of Torts § 821A, Comment b (1979).</w:t>
      </w:r>
    </w:p>
    <w:p w:rsidR="00C065EF" w:rsidRPr="00C821A7" w:rsidRDefault="00C065EF" w:rsidP="00C065EF">
      <w:pPr>
        <w:pStyle w:val="ListParagraph"/>
        <w:rPr>
          <w:rFonts w:eastAsia="PMingLiU"/>
          <w:sz w:val="22"/>
          <w:szCs w:val="22"/>
        </w:rPr>
      </w:pPr>
    </w:p>
    <w:p w:rsidR="00C065EF" w:rsidRPr="00C821A7" w:rsidRDefault="00C065EF" w:rsidP="00C065EF">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Milwaukee Metropolitan Sewerage District v. City of Milwaukee</w:t>
      </w:r>
      <w:r w:rsidRPr="00C821A7">
        <w:rPr>
          <w:rFonts w:eastAsia="PMingLiU"/>
          <w:sz w:val="22"/>
          <w:szCs w:val="22"/>
        </w:rPr>
        <w:t>, 277 Wis.2d 635, 656 (2005).</w:t>
      </w:r>
    </w:p>
    <w:p w:rsidR="00C065EF" w:rsidRPr="00C821A7" w:rsidRDefault="00C065EF" w:rsidP="00C065EF">
      <w:pPr>
        <w:pStyle w:val="ListParagraph"/>
        <w:rPr>
          <w:rFonts w:eastAsia="PMingLiU"/>
          <w:sz w:val="22"/>
          <w:szCs w:val="22"/>
        </w:rPr>
      </w:pPr>
    </w:p>
    <w:p w:rsidR="00C065EF" w:rsidRPr="00C821A7" w:rsidRDefault="00C065EF" w:rsidP="00C065EF">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“Wisconsin has explicitly adopted the definition of private nuisance found in the Restatement (Second) of Torts, § 821. (</w:t>
      </w:r>
      <w:proofErr w:type="gramStart"/>
      <w:r w:rsidRPr="00C821A7">
        <w:rPr>
          <w:rFonts w:eastAsia="PMingLiU"/>
          <w:sz w:val="22"/>
          <w:szCs w:val="22"/>
        </w:rPr>
        <w:t>citations</w:t>
      </w:r>
      <w:proofErr w:type="gramEnd"/>
      <w:r w:rsidRPr="00C821A7">
        <w:rPr>
          <w:rFonts w:eastAsia="PMingLiU"/>
          <w:sz w:val="22"/>
          <w:szCs w:val="22"/>
        </w:rPr>
        <w:t xml:space="preserve"> omitted).” </w:t>
      </w:r>
      <w:r w:rsidRPr="00C821A7">
        <w:rPr>
          <w:rFonts w:eastAsia="PMingLiU"/>
          <w:sz w:val="22"/>
          <w:szCs w:val="22"/>
          <w:u w:val="single"/>
        </w:rPr>
        <w:t xml:space="preserve">Milwaukee Metropolitan Sewerage District v. City of </w:t>
      </w:r>
      <w:r w:rsidRPr="00C821A7">
        <w:rPr>
          <w:rFonts w:eastAsia="PMingLiU"/>
          <w:sz w:val="22"/>
          <w:szCs w:val="22"/>
          <w:u w:val="single"/>
        </w:rPr>
        <w:lastRenderedPageBreak/>
        <w:t>Milwaukee</w:t>
      </w:r>
      <w:r w:rsidRPr="00C821A7">
        <w:rPr>
          <w:rFonts w:eastAsia="PMingLiU"/>
          <w:sz w:val="22"/>
          <w:szCs w:val="22"/>
        </w:rPr>
        <w:t xml:space="preserve">, 277 Wis.2d 635, 656 [footnote </w:t>
      </w:r>
      <w:proofErr w:type="gramStart"/>
      <w:r w:rsidRPr="00C821A7">
        <w:rPr>
          <w:rFonts w:eastAsia="PMingLiU"/>
          <w:sz w:val="22"/>
          <w:szCs w:val="22"/>
        </w:rPr>
        <w:t>4</w:t>
      </w:r>
      <w:proofErr w:type="gramEnd"/>
      <w:r w:rsidRPr="00C821A7">
        <w:rPr>
          <w:rFonts w:eastAsia="PMingLiU"/>
          <w:sz w:val="22"/>
          <w:szCs w:val="22"/>
        </w:rPr>
        <w:t xml:space="preserve">] (2005). The Restatement defines “private nuisance” as follows: “A private nuisance is a </w:t>
      </w:r>
      <w:proofErr w:type="spellStart"/>
      <w:r w:rsidRPr="00C821A7">
        <w:rPr>
          <w:rFonts w:eastAsia="PMingLiU"/>
          <w:sz w:val="22"/>
          <w:szCs w:val="22"/>
        </w:rPr>
        <w:t>non</w:t>
      </w:r>
      <w:r w:rsidR="00971AFF" w:rsidRPr="00C821A7">
        <w:rPr>
          <w:rFonts w:eastAsia="PMingLiU"/>
          <w:sz w:val="22"/>
          <w:szCs w:val="22"/>
        </w:rPr>
        <w:t>trespassory</w:t>
      </w:r>
      <w:proofErr w:type="spellEnd"/>
      <w:r w:rsidR="00971AFF" w:rsidRPr="00C821A7">
        <w:rPr>
          <w:rFonts w:eastAsia="PMingLiU"/>
          <w:sz w:val="22"/>
          <w:szCs w:val="22"/>
        </w:rPr>
        <w:t xml:space="preserve"> invasion of another’</w:t>
      </w:r>
      <w:r w:rsidRPr="00C821A7">
        <w:rPr>
          <w:rFonts w:eastAsia="PMingLiU"/>
          <w:sz w:val="22"/>
          <w:szCs w:val="22"/>
        </w:rPr>
        <w:t>s interest in the private use and enjoyment of land.” Restatement (Second) of Torts § 821D. While the definition of a private nuisance in Restatement (Second) of Torts § 821 refers to an “invasion” without mentioning an “interference,” both the Restatement and Wisconsin case law consistently use the term “interference” with one’s use and enjoyment of land as describing the essence of a private nuisance. “A nuisance is an interference with the interest in the private use and enjoyment of the land, and does not require interference with the possession.” Restatement (Secon</w:t>
      </w:r>
      <w:r w:rsidR="00971AFF" w:rsidRPr="00C821A7">
        <w:rPr>
          <w:rFonts w:eastAsia="PMingLiU"/>
          <w:sz w:val="22"/>
          <w:szCs w:val="22"/>
        </w:rPr>
        <w:t>d) of Torts § 821D, Comment d. “</w:t>
      </w:r>
      <w:r w:rsidRPr="00C821A7">
        <w:rPr>
          <w:rFonts w:eastAsia="PMingLiU"/>
          <w:sz w:val="22"/>
          <w:szCs w:val="22"/>
        </w:rPr>
        <w:t>The essence of a private nuisance is an interference with</w:t>
      </w:r>
      <w:r w:rsidR="00971AFF" w:rsidRPr="00C821A7">
        <w:rPr>
          <w:rFonts w:eastAsia="PMingLiU"/>
          <w:sz w:val="22"/>
          <w:szCs w:val="22"/>
        </w:rPr>
        <w:t xml:space="preserve"> the use and enjoyment of land.”</w:t>
      </w:r>
      <w:r w:rsidRPr="00C821A7">
        <w:rPr>
          <w:rFonts w:eastAsia="PMingLiU"/>
          <w:sz w:val="22"/>
          <w:szCs w:val="22"/>
        </w:rPr>
        <w:t xml:space="preserve"> Prosser and Keeton on Torts § 87, at 619. </w:t>
      </w:r>
      <w:r w:rsidRPr="00C821A7">
        <w:rPr>
          <w:rFonts w:eastAsia="PMingLiU"/>
          <w:sz w:val="22"/>
          <w:szCs w:val="22"/>
          <w:u w:val="single"/>
        </w:rPr>
        <w:t>Milwaukee Metropolitan Sewerage District v. City of Milwaukee</w:t>
      </w:r>
      <w:r w:rsidRPr="00C821A7">
        <w:rPr>
          <w:rFonts w:eastAsia="PMingLiU"/>
          <w:sz w:val="22"/>
          <w:szCs w:val="22"/>
        </w:rPr>
        <w:t xml:space="preserve">, </w:t>
      </w:r>
      <w:r w:rsidRPr="00C821A7">
        <w:rPr>
          <w:rFonts w:eastAsia="PMingLiU"/>
          <w:sz w:val="22"/>
          <w:szCs w:val="22"/>
          <w:u w:val="single"/>
        </w:rPr>
        <w:t>supra</w:t>
      </w:r>
      <w:r w:rsidRPr="00C821A7">
        <w:rPr>
          <w:rFonts w:eastAsia="PMingLiU"/>
          <w:sz w:val="22"/>
          <w:szCs w:val="22"/>
        </w:rPr>
        <w:t xml:space="preserve">, at 657. “A nuisance is a condition or activity which unduly interferes with the use of land or of a public place.” </w:t>
      </w:r>
      <w:r w:rsidRPr="00C821A7">
        <w:rPr>
          <w:rFonts w:eastAsia="PMingLiU"/>
          <w:sz w:val="22"/>
          <w:szCs w:val="22"/>
          <w:u w:val="single"/>
        </w:rPr>
        <w:t>Physicians Plus v. Midwest Mutual</w:t>
      </w:r>
      <w:r w:rsidRPr="00C821A7">
        <w:rPr>
          <w:rFonts w:eastAsia="PMingLiU"/>
          <w:sz w:val="22"/>
          <w:szCs w:val="22"/>
        </w:rPr>
        <w:t>, 254 Wis.2d 77, 102 (2002).</w:t>
      </w:r>
    </w:p>
    <w:p w:rsidR="00D63F4D" w:rsidRPr="00C821A7" w:rsidRDefault="00D63F4D" w:rsidP="006429E0">
      <w:pPr>
        <w:rPr>
          <w:rFonts w:eastAsia="PMingLiU"/>
          <w:sz w:val="22"/>
          <w:szCs w:val="22"/>
        </w:rPr>
      </w:pPr>
    </w:p>
    <w:p w:rsidR="00D63F4D" w:rsidRPr="00C821A7" w:rsidRDefault="00D63F4D" w:rsidP="00D63F4D">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Krueger v. Mitchell</w:t>
      </w:r>
      <w:r w:rsidRPr="00C821A7">
        <w:rPr>
          <w:rFonts w:eastAsia="PMingLiU"/>
          <w:sz w:val="22"/>
          <w:szCs w:val="22"/>
        </w:rPr>
        <w:t xml:space="preserve">, 112 Wis. 2d 88, 106, 332 N.W.2d 733 (1983).  </w:t>
      </w:r>
    </w:p>
    <w:p w:rsidR="00D63F4D" w:rsidRPr="00C821A7" w:rsidRDefault="00D63F4D" w:rsidP="00D63F4D">
      <w:pPr>
        <w:pStyle w:val="ListParagraph"/>
        <w:rPr>
          <w:rFonts w:eastAsia="PMingLiU"/>
          <w:sz w:val="22"/>
          <w:szCs w:val="22"/>
        </w:rPr>
      </w:pPr>
    </w:p>
    <w:p w:rsidR="00B31091" w:rsidRPr="00C821A7" w:rsidRDefault="00B31091" w:rsidP="00B31091">
      <w:pPr>
        <w:pStyle w:val="ListParagraph"/>
        <w:numPr>
          <w:ilvl w:val="0"/>
          <w:numId w:val="2"/>
        </w:numPr>
        <w:tabs>
          <w:tab w:val="left" w:pos="900"/>
        </w:tabs>
        <w:ind w:left="0" w:firstLine="450"/>
        <w:jc w:val="both"/>
        <w:rPr>
          <w:rFonts w:eastAsia="PMingLiU"/>
          <w:sz w:val="22"/>
          <w:szCs w:val="22"/>
        </w:rPr>
      </w:pPr>
      <w:proofErr w:type="spellStart"/>
      <w:r w:rsidRPr="00C821A7">
        <w:rPr>
          <w:rFonts w:eastAsia="PMingLiU"/>
          <w:sz w:val="22"/>
          <w:szCs w:val="22"/>
          <w:u w:val="single"/>
        </w:rPr>
        <w:t>Sohns</w:t>
      </w:r>
      <w:proofErr w:type="spellEnd"/>
      <w:r w:rsidRPr="00C821A7">
        <w:rPr>
          <w:rFonts w:eastAsia="PMingLiU"/>
          <w:sz w:val="22"/>
          <w:szCs w:val="22"/>
          <w:u w:val="single"/>
        </w:rPr>
        <w:t xml:space="preserve"> v. Jensen</w:t>
      </w:r>
      <w:r w:rsidRPr="00C821A7">
        <w:rPr>
          <w:rFonts w:eastAsia="PMingLiU"/>
          <w:sz w:val="22"/>
          <w:szCs w:val="22"/>
        </w:rPr>
        <w:t xml:space="preserve">, 11 Wis. 2d 449, 460-61, 105 N.W.2d 818 (1960). See also </w:t>
      </w:r>
      <w:r w:rsidRPr="00C821A7">
        <w:rPr>
          <w:rFonts w:eastAsia="PMingLiU"/>
          <w:sz w:val="22"/>
          <w:szCs w:val="22"/>
          <w:u w:val="single"/>
        </w:rPr>
        <w:t xml:space="preserve">McCann v. </w:t>
      </w:r>
      <w:proofErr w:type="spellStart"/>
      <w:r w:rsidRPr="00C821A7">
        <w:rPr>
          <w:rFonts w:eastAsia="PMingLiU"/>
          <w:sz w:val="22"/>
          <w:szCs w:val="22"/>
          <w:u w:val="single"/>
        </w:rPr>
        <w:t>Strang</w:t>
      </w:r>
      <w:proofErr w:type="spellEnd"/>
      <w:r w:rsidRPr="00C821A7">
        <w:rPr>
          <w:rFonts w:eastAsia="PMingLiU"/>
          <w:sz w:val="22"/>
          <w:szCs w:val="22"/>
        </w:rPr>
        <w:t>, 97 Wis. 551, 553, 72 N.W. 1117 (1897).</w:t>
      </w:r>
    </w:p>
    <w:p w:rsidR="009377C6" w:rsidRPr="00C821A7" w:rsidRDefault="009377C6" w:rsidP="006B0CD0">
      <w:pPr>
        <w:rPr>
          <w:rFonts w:eastAsia="PMingLiU"/>
          <w:sz w:val="22"/>
          <w:szCs w:val="22"/>
        </w:rPr>
      </w:pPr>
    </w:p>
    <w:p w:rsidR="00C065EF" w:rsidRPr="00C821A7" w:rsidRDefault="00C065EF" w:rsidP="00C065EF">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 xml:space="preserve">“In contrast [to a private nuisance], ‘[a] public nuisance is a condition or activity which substantially or unduly interferes with the use of a public place or with the activities of an entire community.’ </w:t>
      </w:r>
      <w:r w:rsidRPr="00C821A7">
        <w:rPr>
          <w:rFonts w:eastAsia="PMingLiU"/>
          <w:sz w:val="22"/>
          <w:szCs w:val="22"/>
          <w:u w:val="single"/>
        </w:rPr>
        <w:t>Physicians Plus</w:t>
      </w:r>
      <w:r w:rsidRPr="00C821A7">
        <w:rPr>
          <w:rFonts w:eastAsia="PMingLiU"/>
          <w:sz w:val="22"/>
          <w:szCs w:val="22"/>
        </w:rPr>
        <w:t xml:space="preserve">, 254 Wis.2d 77, ¶ 21. In other words, ‘[a] public nuisance is an unreasonable interference with a right common to the general public.’ Restatement (Second) of Torts § 821B. See also Prosser and Keeton on Torts § 86, at 618 (accord). Therefore, the interest involved in a public nuisance is broader than that in a private nuisance because ‘a public nuisance does not necessarily involve interference with use and enjoyment of land.’ Restatement (Second) of Torts § 821B </w:t>
      </w:r>
      <w:proofErr w:type="spellStart"/>
      <w:r w:rsidRPr="00C821A7">
        <w:rPr>
          <w:rFonts w:eastAsia="PMingLiU"/>
          <w:sz w:val="22"/>
          <w:szCs w:val="22"/>
        </w:rPr>
        <w:t>cmt</w:t>
      </w:r>
      <w:proofErr w:type="spellEnd"/>
      <w:r w:rsidRPr="00C821A7">
        <w:rPr>
          <w:rFonts w:eastAsia="PMingLiU"/>
          <w:sz w:val="22"/>
          <w:szCs w:val="22"/>
        </w:rPr>
        <w:t xml:space="preserve">. </w:t>
      </w:r>
      <w:proofErr w:type="gramStart"/>
      <w:r w:rsidRPr="00C821A7">
        <w:rPr>
          <w:rFonts w:eastAsia="PMingLiU"/>
          <w:sz w:val="22"/>
          <w:szCs w:val="22"/>
        </w:rPr>
        <w:t>h</w:t>
      </w:r>
      <w:proofErr w:type="gramEnd"/>
      <w:r w:rsidRPr="00C821A7">
        <w:rPr>
          <w:rFonts w:eastAsia="PMingLiU"/>
          <w:sz w:val="22"/>
          <w:szCs w:val="22"/>
        </w:rPr>
        <w:t xml:space="preserve">.” </w:t>
      </w:r>
      <w:r w:rsidRPr="00C821A7">
        <w:rPr>
          <w:rFonts w:eastAsia="PMingLiU"/>
          <w:sz w:val="22"/>
          <w:szCs w:val="22"/>
          <w:u w:val="single"/>
        </w:rPr>
        <w:t>Milwaukee Metropolitan Sewerage District v. City of Milwaukee</w:t>
      </w:r>
      <w:r w:rsidRPr="00C821A7">
        <w:rPr>
          <w:rFonts w:eastAsia="PMingLiU"/>
          <w:sz w:val="22"/>
          <w:szCs w:val="22"/>
        </w:rPr>
        <w:t xml:space="preserve">, 277 Wis.2d 635, 658 (2005). </w:t>
      </w:r>
    </w:p>
    <w:p w:rsidR="00C065EF" w:rsidRPr="00C821A7" w:rsidRDefault="00C065EF" w:rsidP="00971AFF">
      <w:pPr>
        <w:pStyle w:val="ListParagraph"/>
        <w:tabs>
          <w:tab w:val="left" w:pos="900"/>
        </w:tabs>
        <w:rPr>
          <w:rFonts w:eastAsia="PMingLiU"/>
          <w:sz w:val="22"/>
          <w:szCs w:val="22"/>
        </w:rPr>
      </w:pPr>
    </w:p>
    <w:p w:rsidR="00C065EF" w:rsidRPr="00C821A7" w:rsidRDefault="00C065EF" w:rsidP="00971AFF">
      <w:pPr>
        <w:pStyle w:val="ListParagraph"/>
        <w:ind w:left="0" w:firstLine="450"/>
        <w:jc w:val="both"/>
        <w:rPr>
          <w:rFonts w:eastAsia="PMingLiU"/>
          <w:sz w:val="22"/>
          <w:szCs w:val="22"/>
        </w:rPr>
      </w:pPr>
      <w:r w:rsidRPr="00C821A7">
        <w:rPr>
          <w:rFonts w:eastAsia="PMingLiU"/>
          <w:sz w:val="22"/>
          <w:szCs w:val="22"/>
        </w:rPr>
        <w:t>A public nuisance is not determined by the number of persons affected, but by the na</w:t>
      </w:r>
      <w:r w:rsidR="00971AFF" w:rsidRPr="00C821A7">
        <w:rPr>
          <w:rFonts w:eastAsia="PMingLiU"/>
          <w:sz w:val="22"/>
          <w:szCs w:val="22"/>
        </w:rPr>
        <w:t xml:space="preserve">ture of the injury involved. </w:t>
      </w:r>
      <w:r w:rsidRPr="00C821A7">
        <w:rPr>
          <w:rFonts w:eastAsia="PMingLiU"/>
          <w:sz w:val="22"/>
          <w:szCs w:val="22"/>
        </w:rPr>
        <w:t xml:space="preserve">“It should be stressed that the distinction between a private and public nuisance is ‘not the number of persons injured but the character of the injury and of the right impinged upon.’ </w:t>
      </w:r>
      <w:r w:rsidRPr="00C821A7">
        <w:rPr>
          <w:rFonts w:eastAsia="PMingLiU"/>
          <w:sz w:val="22"/>
          <w:szCs w:val="22"/>
          <w:u w:val="single"/>
        </w:rPr>
        <w:t>Costas v. City of Fond du Lac</w:t>
      </w:r>
      <w:r w:rsidRPr="00C821A7">
        <w:rPr>
          <w:rFonts w:eastAsia="PMingLiU"/>
          <w:sz w:val="22"/>
          <w:szCs w:val="22"/>
        </w:rPr>
        <w:t xml:space="preserve">, 24 Wis.2d 409, 414, 129 N.W.2d 217 (1964) (emphasis added). See also </w:t>
      </w:r>
      <w:r w:rsidRPr="00C821A7">
        <w:rPr>
          <w:rFonts w:eastAsia="PMingLiU"/>
          <w:sz w:val="22"/>
          <w:szCs w:val="22"/>
          <w:u w:val="single"/>
        </w:rPr>
        <w:t>Physicians Plus</w:t>
      </w:r>
      <w:r w:rsidRPr="00C821A7">
        <w:rPr>
          <w:rFonts w:eastAsia="PMingLiU"/>
          <w:sz w:val="22"/>
          <w:szCs w:val="22"/>
        </w:rPr>
        <w:t>, 254 Wis.2d 77, ¶ 21</w:t>
      </w:r>
      <w:proofErr w:type="gramStart"/>
      <w:r w:rsidRPr="00C821A7">
        <w:rPr>
          <w:rFonts w:eastAsia="PMingLiU"/>
          <w:sz w:val="22"/>
          <w:szCs w:val="22"/>
        </w:rPr>
        <w:t>;</w:t>
      </w:r>
      <w:proofErr w:type="gramEnd"/>
      <w:r w:rsidRPr="00C821A7">
        <w:rPr>
          <w:rFonts w:eastAsia="PMingLiU"/>
          <w:sz w:val="22"/>
          <w:szCs w:val="22"/>
        </w:rPr>
        <w:t xml:space="preserve"> </w:t>
      </w:r>
      <w:proofErr w:type="spellStart"/>
      <w:r w:rsidRPr="00C821A7">
        <w:rPr>
          <w:rFonts w:eastAsia="PMingLiU"/>
          <w:sz w:val="22"/>
          <w:szCs w:val="22"/>
          <w:u w:val="single"/>
        </w:rPr>
        <w:t>Schiro</w:t>
      </w:r>
      <w:proofErr w:type="spellEnd"/>
      <w:r w:rsidRPr="00C821A7">
        <w:rPr>
          <w:rFonts w:eastAsia="PMingLiU"/>
          <w:sz w:val="22"/>
          <w:szCs w:val="22"/>
          <w:u w:val="single"/>
        </w:rPr>
        <w:t xml:space="preserve"> v. Oriental Realty Co.</w:t>
      </w:r>
      <w:r w:rsidRPr="00C821A7">
        <w:rPr>
          <w:rFonts w:eastAsia="PMingLiU"/>
          <w:sz w:val="22"/>
          <w:szCs w:val="22"/>
        </w:rPr>
        <w:t xml:space="preserve">, 272 Wis. 537, 546, 76 N.W.2d 355 (1956). ‘Conduct does not become a public nuisance merely because it interferes with the use and enjoyment of land by a large number of persons. There must be some interference with a public right.’ Restatement (Second) of Torts § 821B </w:t>
      </w:r>
      <w:proofErr w:type="spellStart"/>
      <w:r w:rsidRPr="00C821A7">
        <w:rPr>
          <w:rFonts w:eastAsia="PMingLiU"/>
          <w:sz w:val="22"/>
          <w:szCs w:val="22"/>
        </w:rPr>
        <w:t>cmt</w:t>
      </w:r>
      <w:proofErr w:type="spellEnd"/>
      <w:r w:rsidRPr="00C821A7">
        <w:rPr>
          <w:rFonts w:eastAsia="PMingLiU"/>
          <w:sz w:val="22"/>
          <w:szCs w:val="22"/>
        </w:rPr>
        <w:t xml:space="preserve">. g. Since the term public nuisance refers to a broader set of invasions than private nuisance, ‘[a] nuisance may be both public and private in character. . . . A public nuisance which causes a particular injury to an individual different in kind and degree from that suffered by the public constitutes a private nuisance.’ </w:t>
      </w:r>
      <w:r w:rsidRPr="00C821A7">
        <w:rPr>
          <w:rFonts w:eastAsia="PMingLiU"/>
          <w:sz w:val="22"/>
          <w:szCs w:val="22"/>
          <w:u w:val="single"/>
        </w:rPr>
        <w:t>Costas</w:t>
      </w:r>
      <w:r w:rsidRPr="00C821A7">
        <w:rPr>
          <w:rFonts w:eastAsia="PMingLiU"/>
          <w:sz w:val="22"/>
          <w:szCs w:val="22"/>
        </w:rPr>
        <w:t xml:space="preserve">, 24 Wis. 2d at 413-14. See also Restatement (Second) of Torts § 821B </w:t>
      </w:r>
      <w:proofErr w:type="spellStart"/>
      <w:r w:rsidRPr="00C821A7">
        <w:rPr>
          <w:rFonts w:eastAsia="PMingLiU"/>
          <w:sz w:val="22"/>
          <w:szCs w:val="22"/>
        </w:rPr>
        <w:t>cmt</w:t>
      </w:r>
      <w:proofErr w:type="spellEnd"/>
      <w:r w:rsidRPr="00C821A7">
        <w:rPr>
          <w:rFonts w:eastAsia="PMingLiU"/>
          <w:sz w:val="22"/>
          <w:szCs w:val="22"/>
        </w:rPr>
        <w:t xml:space="preserve">. </w:t>
      </w:r>
      <w:proofErr w:type="gramStart"/>
      <w:r w:rsidRPr="00C821A7">
        <w:rPr>
          <w:rFonts w:eastAsia="PMingLiU"/>
          <w:sz w:val="22"/>
          <w:szCs w:val="22"/>
        </w:rPr>
        <w:t>h</w:t>
      </w:r>
      <w:proofErr w:type="gramEnd"/>
      <w:r w:rsidRPr="00C821A7">
        <w:rPr>
          <w:rFonts w:eastAsia="PMingLiU"/>
          <w:sz w:val="22"/>
          <w:szCs w:val="22"/>
        </w:rPr>
        <w:t xml:space="preserve"> (accord).” </w:t>
      </w:r>
      <w:r w:rsidRPr="00C821A7">
        <w:rPr>
          <w:rFonts w:eastAsia="PMingLiU"/>
          <w:sz w:val="22"/>
          <w:szCs w:val="22"/>
          <w:u w:val="single"/>
        </w:rPr>
        <w:t>Id</w:t>
      </w:r>
      <w:r w:rsidRPr="00C821A7">
        <w:rPr>
          <w:rFonts w:eastAsia="PMingLiU"/>
          <w:sz w:val="22"/>
          <w:szCs w:val="22"/>
        </w:rPr>
        <w:t>. at 658-659.</w:t>
      </w:r>
    </w:p>
    <w:p w:rsidR="00971AFF" w:rsidRPr="00C821A7" w:rsidRDefault="00971AFF" w:rsidP="00971AFF">
      <w:pPr>
        <w:pStyle w:val="ListParagraph"/>
        <w:ind w:left="0" w:firstLine="450"/>
        <w:rPr>
          <w:rFonts w:eastAsia="PMingLiU"/>
          <w:sz w:val="22"/>
          <w:szCs w:val="22"/>
        </w:rPr>
      </w:pPr>
    </w:p>
    <w:p w:rsidR="00971AFF" w:rsidRPr="00C821A7" w:rsidRDefault="00971AFF" w:rsidP="00971AFF">
      <w:pPr>
        <w:pStyle w:val="ListParagraph"/>
        <w:numPr>
          <w:ilvl w:val="0"/>
          <w:numId w:val="2"/>
        </w:numPr>
        <w:tabs>
          <w:tab w:val="left" w:pos="900"/>
        </w:tabs>
        <w:ind w:left="0" w:firstLine="450"/>
        <w:rPr>
          <w:rFonts w:eastAsia="PMingLiU"/>
          <w:sz w:val="22"/>
          <w:szCs w:val="22"/>
        </w:rPr>
      </w:pPr>
      <w:r w:rsidRPr="00C821A7">
        <w:rPr>
          <w:rFonts w:eastAsia="PMingLiU"/>
          <w:sz w:val="22"/>
          <w:szCs w:val="22"/>
        </w:rPr>
        <w:t xml:space="preserve"> </w:t>
      </w:r>
      <w:r w:rsidR="00C065EF" w:rsidRPr="00C821A7">
        <w:rPr>
          <w:rFonts w:eastAsia="PMingLiU"/>
          <w:sz w:val="22"/>
          <w:szCs w:val="22"/>
        </w:rPr>
        <w:t xml:space="preserve">Restatement (Second) of Torts § </w:t>
      </w:r>
      <w:proofErr w:type="gramStart"/>
      <w:r w:rsidR="00C065EF" w:rsidRPr="00C821A7">
        <w:rPr>
          <w:rFonts w:eastAsia="PMingLiU"/>
          <w:sz w:val="22"/>
          <w:szCs w:val="22"/>
        </w:rPr>
        <w:t>821C(</w:t>
      </w:r>
      <w:proofErr w:type="gramEnd"/>
      <w:r w:rsidR="00C065EF" w:rsidRPr="00C821A7">
        <w:rPr>
          <w:rFonts w:eastAsia="PMingLiU"/>
          <w:sz w:val="22"/>
          <w:szCs w:val="22"/>
        </w:rPr>
        <w:t>1) (1979).</w:t>
      </w:r>
    </w:p>
    <w:p w:rsidR="00971AFF" w:rsidRPr="00C821A7" w:rsidRDefault="00971AFF" w:rsidP="00971AFF">
      <w:pPr>
        <w:pStyle w:val="ListParagraph"/>
        <w:tabs>
          <w:tab w:val="left" w:pos="900"/>
        </w:tabs>
        <w:ind w:left="450"/>
        <w:rPr>
          <w:rFonts w:eastAsia="PMingLiU"/>
          <w:sz w:val="22"/>
          <w:szCs w:val="22"/>
        </w:rPr>
      </w:pPr>
    </w:p>
    <w:p w:rsidR="00C065EF" w:rsidRPr="00C821A7" w:rsidRDefault="00C065EF" w:rsidP="00971AFF">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 xml:space="preserve">“However, since the principal difference between a public and private nuisance lies in the nature of the interest violated or affected by the wrongful conduct, the elements required to establish liability for either are virtually identical.” </w:t>
      </w: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Pr="00C821A7">
        <w:rPr>
          <w:rFonts w:eastAsia="PMingLiU"/>
          <w:sz w:val="22"/>
          <w:szCs w:val="22"/>
        </w:rPr>
        <w:t xml:space="preserve">, at 668. </w:t>
      </w:r>
    </w:p>
    <w:p w:rsidR="00C065EF" w:rsidRPr="00C821A7" w:rsidRDefault="00C065EF" w:rsidP="00971AFF">
      <w:pPr>
        <w:pStyle w:val="ListParagraph"/>
        <w:tabs>
          <w:tab w:val="left" w:pos="900"/>
        </w:tabs>
        <w:jc w:val="both"/>
        <w:rPr>
          <w:rFonts w:eastAsia="PMingLiU"/>
          <w:sz w:val="22"/>
          <w:szCs w:val="22"/>
        </w:rPr>
      </w:pPr>
    </w:p>
    <w:p w:rsidR="00971AFF" w:rsidRPr="00C821A7" w:rsidRDefault="00C065EF" w:rsidP="00971AFF">
      <w:pPr>
        <w:ind w:firstLine="450"/>
        <w:jc w:val="both"/>
        <w:rPr>
          <w:rFonts w:eastAsia="PMingLiU"/>
          <w:sz w:val="22"/>
          <w:szCs w:val="22"/>
        </w:rPr>
      </w:pPr>
      <w:r w:rsidRPr="00C821A7">
        <w:rPr>
          <w:rFonts w:eastAsia="PMingLiU"/>
          <w:sz w:val="22"/>
          <w:szCs w:val="22"/>
        </w:rPr>
        <w:t xml:space="preserve">“But as the tort action came into the picture, the use of the single word ‘nuisance’ to describe both the public and the private nuisance, led to the application in public nuisance cases, both criminal and civil, of </w:t>
      </w:r>
      <w:r w:rsidRPr="00C821A7">
        <w:rPr>
          <w:rFonts w:eastAsia="PMingLiU"/>
          <w:sz w:val="22"/>
          <w:szCs w:val="22"/>
        </w:rPr>
        <w:lastRenderedPageBreak/>
        <w:t>an analysis substantially similar to that employed for the tort action for private nuisance.” Restatement (Second) of Torts § 821B, comment e (1979).</w:t>
      </w:r>
    </w:p>
    <w:p w:rsidR="00971AFF" w:rsidRPr="00C821A7" w:rsidRDefault="00971AFF" w:rsidP="00971AFF">
      <w:pPr>
        <w:jc w:val="both"/>
        <w:rPr>
          <w:rFonts w:eastAsia="PMingLiU"/>
          <w:sz w:val="22"/>
          <w:szCs w:val="22"/>
        </w:rPr>
      </w:pPr>
    </w:p>
    <w:p w:rsidR="00971AFF" w:rsidRPr="00C821A7" w:rsidRDefault="00C065EF" w:rsidP="00971AFF">
      <w:pPr>
        <w:pStyle w:val="ListParagraph"/>
        <w:numPr>
          <w:ilvl w:val="0"/>
          <w:numId w:val="2"/>
        </w:numPr>
        <w:tabs>
          <w:tab w:val="left" w:pos="900"/>
        </w:tabs>
        <w:ind w:left="0" w:firstLine="360"/>
        <w:jc w:val="both"/>
        <w:rPr>
          <w:rFonts w:eastAsia="PMingLiU"/>
          <w:sz w:val="22"/>
          <w:szCs w:val="22"/>
        </w:rPr>
      </w:pPr>
      <w:r w:rsidRPr="00C821A7">
        <w:rPr>
          <w:rFonts w:eastAsia="PMingLiU"/>
          <w:sz w:val="22"/>
          <w:szCs w:val="22"/>
        </w:rPr>
        <w:t>“There is liability for a nuisance only to those to whom it causes significant harm, of a kind that would be suffered by a normal person in the community or by property in normal condition and used for a normal purpose.” Restatement (Second) of Torts § 821F.</w:t>
      </w:r>
    </w:p>
    <w:p w:rsidR="00971AFF" w:rsidRPr="00C821A7" w:rsidRDefault="00971AFF" w:rsidP="00971AFF">
      <w:pPr>
        <w:pStyle w:val="ListParagraph"/>
        <w:tabs>
          <w:tab w:val="left" w:pos="900"/>
        </w:tabs>
        <w:ind w:left="360"/>
        <w:jc w:val="both"/>
        <w:rPr>
          <w:rFonts w:eastAsia="PMingLiU"/>
          <w:sz w:val="22"/>
          <w:szCs w:val="22"/>
        </w:rPr>
      </w:pPr>
    </w:p>
    <w:p w:rsidR="00C825A5" w:rsidRPr="00C821A7" w:rsidRDefault="00C825A5"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Krueger</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107. </w:t>
      </w:r>
    </w:p>
    <w:p w:rsidR="00C825A5" w:rsidRPr="00C821A7" w:rsidRDefault="00C825A5" w:rsidP="00C825A5">
      <w:pPr>
        <w:pStyle w:val="ListParagraph"/>
        <w:rPr>
          <w:rFonts w:eastAsia="PMingLiU"/>
          <w:sz w:val="22"/>
          <w:szCs w:val="22"/>
        </w:rPr>
      </w:pPr>
    </w:p>
    <w:p w:rsidR="00C065EF" w:rsidRPr="00C821A7" w:rsidRDefault="00C065EF"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Restatement (Second) of Torts § 821B, Comment h (1979).</w:t>
      </w:r>
    </w:p>
    <w:p w:rsidR="00971AFF" w:rsidRPr="00C821A7" w:rsidRDefault="00971AFF" w:rsidP="00971AFF">
      <w:pPr>
        <w:tabs>
          <w:tab w:val="left" w:pos="900"/>
        </w:tabs>
        <w:jc w:val="both"/>
        <w:rPr>
          <w:rFonts w:eastAsia="PMingLiU"/>
          <w:sz w:val="22"/>
          <w:szCs w:val="22"/>
        </w:rPr>
      </w:pPr>
    </w:p>
    <w:p w:rsidR="007D7F0E" w:rsidRPr="00C821A7" w:rsidRDefault="007D7F0E" w:rsidP="007D7F0E">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671. </w:t>
      </w:r>
    </w:p>
    <w:p w:rsidR="007D7F0E" w:rsidRPr="00C821A7" w:rsidRDefault="007D7F0E" w:rsidP="007D7F0E">
      <w:pPr>
        <w:pStyle w:val="ListParagraph"/>
        <w:rPr>
          <w:rFonts w:eastAsia="PMingLiU"/>
          <w:sz w:val="22"/>
          <w:szCs w:val="22"/>
          <w:u w:val="single"/>
        </w:rPr>
      </w:pPr>
    </w:p>
    <w:p w:rsidR="006E24A5" w:rsidRPr="00C821A7" w:rsidRDefault="006E24A5"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Id</w:t>
      </w:r>
      <w:r w:rsidRPr="00C821A7">
        <w:rPr>
          <w:rFonts w:eastAsia="PMingLiU"/>
          <w:sz w:val="22"/>
          <w:szCs w:val="22"/>
        </w:rPr>
        <w:t>. at 672.</w:t>
      </w:r>
    </w:p>
    <w:p w:rsidR="006E24A5" w:rsidRPr="00C821A7" w:rsidRDefault="006E24A5" w:rsidP="006E24A5">
      <w:pPr>
        <w:pStyle w:val="ListParagraph"/>
        <w:rPr>
          <w:rFonts w:eastAsia="PMingLiU"/>
          <w:sz w:val="22"/>
          <w:szCs w:val="22"/>
          <w:u w:val="single"/>
        </w:rPr>
      </w:pPr>
    </w:p>
    <w:p w:rsidR="00971AFF" w:rsidRPr="00C821A7" w:rsidRDefault="00C065EF"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663</w:t>
      </w:r>
      <w:proofErr w:type="gramStart"/>
      <w:r w:rsidRPr="00C821A7">
        <w:rPr>
          <w:rFonts w:eastAsia="PMingLiU"/>
          <w:sz w:val="22"/>
          <w:szCs w:val="22"/>
        </w:rPr>
        <w:t>;</w:t>
      </w:r>
      <w:proofErr w:type="gramEnd"/>
      <w:r w:rsidRPr="00C821A7">
        <w:rPr>
          <w:rFonts w:eastAsia="PMingLiU"/>
          <w:sz w:val="22"/>
          <w:szCs w:val="22"/>
        </w:rPr>
        <w:t xml:space="preserve"> Restatement (Second) of Torts § 825 (1979).</w:t>
      </w:r>
    </w:p>
    <w:p w:rsidR="00971AFF" w:rsidRPr="00C821A7" w:rsidRDefault="00971AFF" w:rsidP="00971AFF">
      <w:pPr>
        <w:pStyle w:val="ListParagraph"/>
        <w:rPr>
          <w:rFonts w:eastAsia="PMingLiU"/>
          <w:sz w:val="22"/>
          <w:szCs w:val="22"/>
        </w:rPr>
      </w:pPr>
    </w:p>
    <w:p w:rsidR="001F1E6B" w:rsidRPr="00C821A7" w:rsidRDefault="001F1E6B" w:rsidP="001F1E6B">
      <w:pPr>
        <w:pStyle w:val="ListParagraph"/>
        <w:numPr>
          <w:ilvl w:val="0"/>
          <w:numId w:val="2"/>
        </w:numPr>
        <w:tabs>
          <w:tab w:val="left" w:pos="900"/>
        </w:tabs>
        <w:ind w:left="0" w:firstLine="450"/>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663. </w:t>
      </w:r>
    </w:p>
    <w:p w:rsidR="001F1E6B" w:rsidRPr="00C821A7" w:rsidRDefault="001F1E6B" w:rsidP="001F1E6B">
      <w:pPr>
        <w:pStyle w:val="ListParagraph"/>
        <w:rPr>
          <w:rFonts w:eastAsia="PMingLiU"/>
          <w:sz w:val="22"/>
          <w:szCs w:val="22"/>
          <w:u w:val="single"/>
        </w:rPr>
      </w:pPr>
    </w:p>
    <w:p w:rsidR="00C54C78" w:rsidRPr="00C821A7" w:rsidRDefault="00C54C78" w:rsidP="00C54C78">
      <w:pPr>
        <w:pStyle w:val="ListParagraph"/>
        <w:numPr>
          <w:ilvl w:val="0"/>
          <w:numId w:val="2"/>
        </w:numPr>
        <w:tabs>
          <w:tab w:val="left" w:pos="900"/>
        </w:tabs>
        <w:ind w:left="0" w:firstLine="450"/>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661. </w:t>
      </w:r>
    </w:p>
    <w:p w:rsidR="00C54C78" w:rsidRPr="00C821A7" w:rsidRDefault="00C54C78" w:rsidP="00C54C78">
      <w:pPr>
        <w:pStyle w:val="ListParagraph"/>
        <w:rPr>
          <w:rFonts w:eastAsia="PMingLiU"/>
          <w:sz w:val="22"/>
          <w:szCs w:val="22"/>
          <w:u w:val="single"/>
        </w:rPr>
      </w:pPr>
    </w:p>
    <w:p w:rsidR="00C87AB1" w:rsidRPr="00C821A7" w:rsidRDefault="00C87AB1" w:rsidP="00C87AB1">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 xml:space="preserve">In </w:t>
      </w:r>
      <w:proofErr w:type="spellStart"/>
      <w:r w:rsidRPr="00C821A7">
        <w:rPr>
          <w:rFonts w:eastAsia="PMingLiU"/>
          <w:sz w:val="22"/>
          <w:szCs w:val="22"/>
          <w:u w:val="single"/>
        </w:rPr>
        <w:t>Enz</w:t>
      </w:r>
      <w:proofErr w:type="spellEnd"/>
      <w:r w:rsidRPr="00C821A7">
        <w:rPr>
          <w:rFonts w:eastAsia="PMingLiU"/>
          <w:sz w:val="22"/>
          <w:szCs w:val="22"/>
          <w:u w:val="single"/>
        </w:rPr>
        <w:t xml:space="preserve"> v. Duke Energy Renewable Services, Inc.</w:t>
      </w:r>
      <w:r w:rsidRPr="00C821A7">
        <w:rPr>
          <w:rFonts w:eastAsia="PMingLiU"/>
          <w:sz w:val="22"/>
          <w:szCs w:val="22"/>
        </w:rPr>
        <w:t>, 2023 WI App 24, ¶75, 407 Wis.2d 728, 991 N.W.2d 423, the court of appeals provided the following:</w:t>
      </w:r>
    </w:p>
    <w:p w:rsidR="00C87AB1" w:rsidRPr="00C821A7" w:rsidRDefault="00C87AB1" w:rsidP="00C87AB1">
      <w:pPr>
        <w:pStyle w:val="ListParagraph"/>
        <w:tabs>
          <w:tab w:val="left" w:pos="900"/>
        </w:tabs>
        <w:ind w:left="450"/>
        <w:jc w:val="both"/>
        <w:rPr>
          <w:rFonts w:eastAsia="PMingLiU"/>
          <w:sz w:val="22"/>
          <w:szCs w:val="22"/>
        </w:rPr>
      </w:pPr>
    </w:p>
    <w:p w:rsidR="00056261" w:rsidRPr="00C821A7" w:rsidRDefault="00C87AB1" w:rsidP="00C87AB1">
      <w:pPr>
        <w:pStyle w:val="ListParagraph"/>
        <w:tabs>
          <w:tab w:val="left" w:pos="900"/>
        </w:tabs>
        <w:ind w:left="450"/>
        <w:jc w:val="both"/>
        <w:rPr>
          <w:rFonts w:eastAsia="PMingLiU"/>
          <w:sz w:val="22"/>
          <w:szCs w:val="22"/>
        </w:rPr>
      </w:pPr>
      <w:r w:rsidRPr="00C821A7">
        <w:rPr>
          <w:rFonts w:eastAsia="PMingLiU"/>
          <w:sz w:val="22"/>
          <w:szCs w:val="22"/>
        </w:rPr>
        <w:t>“</w:t>
      </w:r>
      <w:r w:rsidR="00056261" w:rsidRPr="00C821A7">
        <w:rPr>
          <w:rFonts w:eastAsia="PMingLiU"/>
          <w:sz w:val="22"/>
          <w:szCs w:val="22"/>
        </w:rPr>
        <w:t>In deter</w:t>
      </w:r>
      <w:r w:rsidR="00BC040D" w:rsidRPr="00C821A7">
        <w:rPr>
          <w:rFonts w:eastAsia="PMingLiU"/>
          <w:sz w:val="22"/>
          <w:szCs w:val="22"/>
        </w:rPr>
        <w:t>mining the gravity of the harm,</w:t>
      </w:r>
      <w:r w:rsidR="00056261" w:rsidRPr="00C821A7">
        <w:rPr>
          <w:rFonts w:eastAsia="PMingLiU"/>
          <w:sz w:val="22"/>
          <w:szCs w:val="22"/>
        </w:rPr>
        <w:t xml:space="preserve"> it is important to consider:</w:t>
      </w:r>
    </w:p>
    <w:p w:rsidR="00056261" w:rsidRPr="00C821A7" w:rsidRDefault="00056261" w:rsidP="00056261">
      <w:pPr>
        <w:pStyle w:val="ListParagraph"/>
        <w:tabs>
          <w:tab w:val="left" w:pos="900"/>
        </w:tabs>
        <w:ind w:left="450"/>
        <w:jc w:val="both"/>
        <w:rPr>
          <w:rFonts w:eastAsia="PMingLiU"/>
          <w:sz w:val="22"/>
          <w:szCs w:val="22"/>
        </w:rPr>
      </w:pPr>
    </w:p>
    <w:p w:rsidR="00056261" w:rsidRPr="00C821A7" w:rsidRDefault="00056261" w:rsidP="00056261">
      <w:pPr>
        <w:tabs>
          <w:tab w:val="left" w:pos="1620"/>
        </w:tabs>
        <w:ind w:left="1260"/>
        <w:jc w:val="both"/>
        <w:rPr>
          <w:rFonts w:eastAsia="PMingLiU"/>
          <w:sz w:val="22"/>
          <w:szCs w:val="22"/>
        </w:rPr>
      </w:pPr>
      <w:r w:rsidRPr="00C821A7">
        <w:rPr>
          <w:rFonts w:eastAsia="PMingLiU"/>
          <w:sz w:val="22"/>
          <w:szCs w:val="22"/>
        </w:rPr>
        <w:t xml:space="preserve">(a) </w:t>
      </w:r>
      <w:r w:rsidRPr="00C821A7">
        <w:rPr>
          <w:rFonts w:eastAsia="PMingLiU"/>
          <w:sz w:val="22"/>
          <w:szCs w:val="22"/>
        </w:rPr>
        <w:tab/>
        <w:t>The extent of the harm involved</w:t>
      </w:r>
      <w:proofErr w:type="gramStart"/>
      <w:r w:rsidRPr="00C821A7">
        <w:rPr>
          <w:rFonts w:eastAsia="PMingLiU"/>
          <w:sz w:val="22"/>
          <w:szCs w:val="22"/>
        </w:rPr>
        <w:t>;</w:t>
      </w:r>
      <w:proofErr w:type="gramEnd"/>
    </w:p>
    <w:p w:rsidR="00056261" w:rsidRPr="00C821A7" w:rsidRDefault="00056261" w:rsidP="00056261">
      <w:pPr>
        <w:tabs>
          <w:tab w:val="left" w:pos="1620"/>
        </w:tabs>
        <w:ind w:left="1260"/>
        <w:jc w:val="both"/>
        <w:rPr>
          <w:rFonts w:eastAsia="PMingLiU"/>
          <w:sz w:val="22"/>
          <w:szCs w:val="22"/>
        </w:rPr>
      </w:pPr>
      <w:r w:rsidRPr="00C821A7">
        <w:rPr>
          <w:rFonts w:eastAsia="PMingLiU"/>
          <w:sz w:val="22"/>
          <w:szCs w:val="22"/>
        </w:rPr>
        <w:t xml:space="preserve">(b) </w:t>
      </w:r>
      <w:r w:rsidRPr="00C821A7">
        <w:rPr>
          <w:rFonts w:eastAsia="PMingLiU"/>
          <w:sz w:val="22"/>
          <w:szCs w:val="22"/>
        </w:rPr>
        <w:tab/>
      </w:r>
      <w:proofErr w:type="gramStart"/>
      <w:r w:rsidRPr="00C821A7">
        <w:rPr>
          <w:rFonts w:eastAsia="PMingLiU"/>
          <w:sz w:val="22"/>
          <w:szCs w:val="22"/>
        </w:rPr>
        <w:t>the</w:t>
      </w:r>
      <w:proofErr w:type="gramEnd"/>
      <w:r w:rsidRPr="00C821A7">
        <w:rPr>
          <w:rFonts w:eastAsia="PMingLiU"/>
          <w:sz w:val="22"/>
          <w:szCs w:val="22"/>
        </w:rPr>
        <w:t xml:space="preserve"> character of the harm involved;</w:t>
      </w:r>
    </w:p>
    <w:p w:rsidR="00056261" w:rsidRPr="00C821A7" w:rsidRDefault="00056261" w:rsidP="00056261">
      <w:pPr>
        <w:tabs>
          <w:tab w:val="left" w:pos="1620"/>
        </w:tabs>
        <w:ind w:left="1260"/>
        <w:jc w:val="both"/>
        <w:rPr>
          <w:rFonts w:eastAsia="PMingLiU"/>
          <w:sz w:val="22"/>
          <w:szCs w:val="22"/>
        </w:rPr>
      </w:pPr>
      <w:r w:rsidRPr="00C821A7">
        <w:rPr>
          <w:rFonts w:eastAsia="PMingLiU"/>
          <w:sz w:val="22"/>
          <w:szCs w:val="22"/>
        </w:rPr>
        <w:t>(c)</w:t>
      </w:r>
      <w:r w:rsidRPr="00C821A7">
        <w:rPr>
          <w:rFonts w:eastAsia="PMingLiU"/>
          <w:sz w:val="22"/>
          <w:szCs w:val="22"/>
        </w:rPr>
        <w:tab/>
      </w:r>
      <w:proofErr w:type="gramStart"/>
      <w:r w:rsidRPr="00C821A7">
        <w:rPr>
          <w:rFonts w:eastAsia="PMingLiU"/>
          <w:sz w:val="22"/>
          <w:szCs w:val="22"/>
        </w:rPr>
        <w:t>the</w:t>
      </w:r>
      <w:proofErr w:type="gramEnd"/>
      <w:r w:rsidRPr="00C821A7">
        <w:rPr>
          <w:rFonts w:eastAsia="PMingLiU"/>
          <w:sz w:val="22"/>
          <w:szCs w:val="22"/>
        </w:rPr>
        <w:t xml:space="preserve"> social value that the law attaches to the type of use or enjoyment invaded;</w:t>
      </w:r>
    </w:p>
    <w:p w:rsidR="00056261" w:rsidRPr="00C821A7" w:rsidRDefault="00056261" w:rsidP="00056261">
      <w:pPr>
        <w:tabs>
          <w:tab w:val="left" w:pos="1620"/>
        </w:tabs>
        <w:ind w:left="1620" w:hanging="360"/>
        <w:jc w:val="both"/>
        <w:rPr>
          <w:rFonts w:eastAsia="PMingLiU"/>
          <w:sz w:val="22"/>
          <w:szCs w:val="22"/>
        </w:rPr>
      </w:pPr>
      <w:r w:rsidRPr="00C821A7">
        <w:rPr>
          <w:rFonts w:eastAsia="PMingLiU"/>
          <w:sz w:val="22"/>
          <w:szCs w:val="22"/>
        </w:rPr>
        <w:t xml:space="preserve">(d) </w:t>
      </w:r>
      <w:r w:rsidRPr="00C821A7">
        <w:rPr>
          <w:rFonts w:eastAsia="PMingLiU"/>
          <w:sz w:val="22"/>
          <w:szCs w:val="22"/>
        </w:rPr>
        <w:tab/>
      </w:r>
      <w:proofErr w:type="gramStart"/>
      <w:r w:rsidRPr="00C821A7">
        <w:rPr>
          <w:rFonts w:eastAsia="PMingLiU"/>
          <w:sz w:val="22"/>
          <w:szCs w:val="22"/>
        </w:rPr>
        <w:t>the</w:t>
      </w:r>
      <w:proofErr w:type="gramEnd"/>
      <w:r w:rsidRPr="00C821A7">
        <w:rPr>
          <w:rFonts w:eastAsia="PMingLiU"/>
          <w:sz w:val="22"/>
          <w:szCs w:val="22"/>
        </w:rPr>
        <w:t xml:space="preserve"> suitability of the particular use or enjoyment invaded to the character of the locality; and</w:t>
      </w:r>
    </w:p>
    <w:p w:rsidR="00056261" w:rsidRPr="00C821A7" w:rsidRDefault="00056261" w:rsidP="00056261">
      <w:pPr>
        <w:tabs>
          <w:tab w:val="left" w:pos="1800"/>
        </w:tabs>
        <w:ind w:left="1620" w:hanging="360"/>
        <w:jc w:val="both"/>
        <w:rPr>
          <w:rFonts w:eastAsia="PMingLiU"/>
          <w:sz w:val="22"/>
          <w:szCs w:val="22"/>
        </w:rPr>
      </w:pPr>
      <w:r w:rsidRPr="00C821A7">
        <w:rPr>
          <w:rFonts w:eastAsia="PMingLiU"/>
          <w:sz w:val="22"/>
          <w:szCs w:val="22"/>
        </w:rPr>
        <w:t xml:space="preserve">(e) </w:t>
      </w:r>
      <w:r w:rsidRPr="00C821A7">
        <w:rPr>
          <w:rFonts w:eastAsia="PMingLiU"/>
          <w:sz w:val="22"/>
          <w:szCs w:val="22"/>
        </w:rPr>
        <w:tab/>
      </w:r>
      <w:proofErr w:type="gramStart"/>
      <w:r w:rsidRPr="00C821A7">
        <w:rPr>
          <w:rFonts w:eastAsia="PMingLiU"/>
          <w:sz w:val="22"/>
          <w:szCs w:val="22"/>
        </w:rPr>
        <w:t>the</w:t>
      </w:r>
      <w:proofErr w:type="gramEnd"/>
      <w:r w:rsidRPr="00C821A7">
        <w:rPr>
          <w:rFonts w:eastAsia="PMingLiU"/>
          <w:sz w:val="22"/>
          <w:szCs w:val="22"/>
        </w:rPr>
        <w:t xml:space="preserve"> burden on the person harmed of avoiding the harm.</w:t>
      </w:r>
      <w:r w:rsidR="00C87AB1" w:rsidRPr="00C821A7">
        <w:rPr>
          <w:rFonts w:eastAsia="PMingLiU"/>
          <w:sz w:val="22"/>
          <w:szCs w:val="22"/>
        </w:rPr>
        <w:t>”</w:t>
      </w:r>
    </w:p>
    <w:p w:rsidR="00056261" w:rsidRPr="00C821A7" w:rsidRDefault="00056261" w:rsidP="00056261">
      <w:pPr>
        <w:tabs>
          <w:tab w:val="left" w:pos="1800"/>
        </w:tabs>
        <w:jc w:val="both"/>
        <w:rPr>
          <w:rFonts w:eastAsia="PMingLiU"/>
          <w:sz w:val="22"/>
          <w:szCs w:val="22"/>
        </w:rPr>
      </w:pPr>
    </w:p>
    <w:p w:rsidR="00056261" w:rsidRPr="00C821A7" w:rsidRDefault="00C87AB1" w:rsidP="00C87AB1">
      <w:pPr>
        <w:tabs>
          <w:tab w:val="left" w:pos="1800"/>
        </w:tabs>
        <w:jc w:val="both"/>
        <w:rPr>
          <w:rFonts w:eastAsia="PMingLiU"/>
          <w:sz w:val="22"/>
          <w:szCs w:val="22"/>
        </w:rPr>
      </w:pPr>
      <w:r w:rsidRPr="00C821A7">
        <w:rPr>
          <w:rFonts w:eastAsia="PMingLiU"/>
          <w:sz w:val="22"/>
          <w:szCs w:val="22"/>
        </w:rPr>
        <w:t xml:space="preserve">See also, </w:t>
      </w:r>
      <w:r w:rsidR="00056261" w:rsidRPr="00C821A7">
        <w:rPr>
          <w:rFonts w:eastAsia="PMingLiU"/>
          <w:sz w:val="22"/>
          <w:szCs w:val="22"/>
          <w:u w:val="single"/>
        </w:rPr>
        <w:t xml:space="preserve">Crest Chevrolet-Oldsmobile-Cadillac, Inc. v. </w:t>
      </w:r>
      <w:proofErr w:type="spellStart"/>
      <w:r w:rsidR="00056261" w:rsidRPr="00C821A7">
        <w:rPr>
          <w:rFonts w:eastAsia="PMingLiU"/>
          <w:sz w:val="22"/>
          <w:szCs w:val="22"/>
          <w:u w:val="single"/>
        </w:rPr>
        <w:t>Willemsen</w:t>
      </w:r>
      <w:proofErr w:type="spellEnd"/>
      <w:r w:rsidR="00056261" w:rsidRPr="00C821A7">
        <w:rPr>
          <w:rFonts w:eastAsia="PMingLiU"/>
          <w:sz w:val="22"/>
          <w:szCs w:val="22"/>
        </w:rPr>
        <w:t>, 129 Wis. 2d 129, 139, 384 N.W.2d 692 (1986)</w:t>
      </w:r>
      <w:r w:rsidRPr="00C821A7">
        <w:rPr>
          <w:rFonts w:eastAsia="PMingLiU"/>
          <w:sz w:val="22"/>
          <w:szCs w:val="22"/>
        </w:rPr>
        <w:t>.</w:t>
      </w:r>
    </w:p>
    <w:p w:rsidR="00056261" w:rsidRPr="00C821A7" w:rsidRDefault="00056261" w:rsidP="00056261">
      <w:pPr>
        <w:pStyle w:val="ListParagraph"/>
        <w:rPr>
          <w:rFonts w:eastAsia="PMingLiU"/>
          <w:sz w:val="22"/>
          <w:szCs w:val="22"/>
        </w:rPr>
      </w:pPr>
    </w:p>
    <w:p w:rsidR="00C87AB1" w:rsidRPr="00C821A7" w:rsidRDefault="00C87AB1" w:rsidP="00C87AB1">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 xml:space="preserve">In </w:t>
      </w:r>
      <w:proofErr w:type="spellStart"/>
      <w:r w:rsidRPr="00C821A7">
        <w:rPr>
          <w:rFonts w:eastAsia="PMingLiU"/>
          <w:sz w:val="22"/>
          <w:szCs w:val="22"/>
          <w:u w:val="single"/>
        </w:rPr>
        <w:t>Enz</w:t>
      </w:r>
      <w:proofErr w:type="spellEnd"/>
      <w:r w:rsidRPr="00C821A7">
        <w:rPr>
          <w:rFonts w:eastAsia="PMingLiU"/>
          <w:sz w:val="22"/>
          <w:szCs w:val="22"/>
          <w:u w:val="single"/>
        </w:rPr>
        <w:t xml:space="preserve"> v. Duke Energy Renewable Services, Inc.</w:t>
      </w:r>
      <w:r w:rsidRPr="00C821A7">
        <w:rPr>
          <w:rFonts w:eastAsia="PMingLiU"/>
          <w:sz w:val="22"/>
          <w:szCs w:val="22"/>
        </w:rPr>
        <w:t>, 2023 WI App 24, ¶75, 407 Wis.2d 728, 991 N.W.2d 423, the court of appeals provided the following:</w:t>
      </w:r>
    </w:p>
    <w:p w:rsidR="00C87AB1" w:rsidRPr="00C821A7" w:rsidRDefault="00C87AB1" w:rsidP="00C87AB1">
      <w:pPr>
        <w:pStyle w:val="ListParagraph"/>
        <w:tabs>
          <w:tab w:val="left" w:pos="900"/>
        </w:tabs>
        <w:ind w:left="450"/>
        <w:jc w:val="both"/>
        <w:rPr>
          <w:rFonts w:eastAsia="PMingLiU"/>
          <w:sz w:val="22"/>
          <w:szCs w:val="22"/>
        </w:rPr>
      </w:pPr>
    </w:p>
    <w:p w:rsidR="00056261" w:rsidRPr="00C821A7" w:rsidRDefault="00C87AB1" w:rsidP="00C87AB1">
      <w:pPr>
        <w:pStyle w:val="ListParagraph"/>
        <w:tabs>
          <w:tab w:val="left" w:pos="900"/>
        </w:tabs>
        <w:ind w:left="450"/>
        <w:jc w:val="both"/>
        <w:rPr>
          <w:rFonts w:eastAsia="PMingLiU"/>
          <w:sz w:val="22"/>
          <w:szCs w:val="22"/>
        </w:rPr>
      </w:pPr>
      <w:r w:rsidRPr="00C821A7">
        <w:rPr>
          <w:rFonts w:eastAsia="PMingLiU"/>
          <w:sz w:val="22"/>
          <w:szCs w:val="22"/>
        </w:rPr>
        <w:t>“</w:t>
      </w:r>
      <w:r w:rsidR="00056261" w:rsidRPr="00C821A7">
        <w:rPr>
          <w:rFonts w:eastAsia="PMingLiU"/>
          <w:sz w:val="22"/>
          <w:szCs w:val="22"/>
        </w:rPr>
        <w:t>In determining the utility of the conduct, it is important to consider:</w:t>
      </w:r>
    </w:p>
    <w:p w:rsidR="00056261" w:rsidRPr="00C821A7" w:rsidRDefault="00056261" w:rsidP="00056261">
      <w:pPr>
        <w:pStyle w:val="ListParagraph"/>
        <w:tabs>
          <w:tab w:val="left" w:pos="900"/>
        </w:tabs>
        <w:ind w:left="450"/>
        <w:jc w:val="both"/>
        <w:rPr>
          <w:rFonts w:eastAsia="PMingLiU"/>
          <w:sz w:val="22"/>
          <w:szCs w:val="22"/>
        </w:rPr>
      </w:pPr>
    </w:p>
    <w:p w:rsidR="00056261" w:rsidRPr="00C821A7" w:rsidRDefault="00056261" w:rsidP="00056261">
      <w:pPr>
        <w:pStyle w:val="ListParagraph"/>
        <w:tabs>
          <w:tab w:val="left" w:pos="900"/>
        </w:tabs>
        <w:ind w:left="1260"/>
        <w:jc w:val="both"/>
        <w:rPr>
          <w:rFonts w:eastAsia="PMingLiU"/>
          <w:sz w:val="22"/>
          <w:szCs w:val="22"/>
        </w:rPr>
      </w:pPr>
      <w:r w:rsidRPr="00C821A7">
        <w:rPr>
          <w:rFonts w:eastAsia="PMingLiU"/>
          <w:sz w:val="22"/>
          <w:szCs w:val="22"/>
        </w:rPr>
        <w:t xml:space="preserve">(a) </w:t>
      </w:r>
      <w:proofErr w:type="gramStart"/>
      <w:r w:rsidRPr="00C821A7">
        <w:rPr>
          <w:rFonts w:eastAsia="PMingLiU"/>
          <w:sz w:val="22"/>
          <w:szCs w:val="22"/>
        </w:rPr>
        <w:t>the</w:t>
      </w:r>
      <w:proofErr w:type="gramEnd"/>
      <w:r w:rsidRPr="00C821A7">
        <w:rPr>
          <w:rFonts w:eastAsia="PMingLiU"/>
          <w:sz w:val="22"/>
          <w:szCs w:val="22"/>
        </w:rPr>
        <w:t xml:space="preserve"> social value that the law attaches to the primary purpose of the conduct;</w:t>
      </w:r>
    </w:p>
    <w:p w:rsidR="00056261" w:rsidRPr="00C821A7" w:rsidRDefault="00056261" w:rsidP="00056261">
      <w:pPr>
        <w:pStyle w:val="ListParagraph"/>
        <w:tabs>
          <w:tab w:val="left" w:pos="900"/>
        </w:tabs>
        <w:ind w:left="1260"/>
        <w:jc w:val="both"/>
        <w:rPr>
          <w:rFonts w:eastAsia="PMingLiU"/>
          <w:sz w:val="22"/>
          <w:szCs w:val="22"/>
        </w:rPr>
      </w:pPr>
      <w:r w:rsidRPr="00C821A7">
        <w:rPr>
          <w:rFonts w:eastAsia="PMingLiU"/>
          <w:sz w:val="22"/>
          <w:szCs w:val="22"/>
        </w:rPr>
        <w:t xml:space="preserve">(b) </w:t>
      </w:r>
      <w:proofErr w:type="gramStart"/>
      <w:r w:rsidRPr="00C821A7">
        <w:rPr>
          <w:rFonts w:eastAsia="PMingLiU"/>
          <w:sz w:val="22"/>
          <w:szCs w:val="22"/>
        </w:rPr>
        <w:t>the</w:t>
      </w:r>
      <w:proofErr w:type="gramEnd"/>
      <w:r w:rsidRPr="00C821A7">
        <w:rPr>
          <w:rFonts w:eastAsia="PMingLiU"/>
          <w:sz w:val="22"/>
          <w:szCs w:val="22"/>
        </w:rPr>
        <w:t xml:space="preserve"> suitability of the conduct to the character of the locality; and</w:t>
      </w:r>
    </w:p>
    <w:p w:rsidR="00056261" w:rsidRPr="00C821A7" w:rsidRDefault="00056261" w:rsidP="00056261">
      <w:pPr>
        <w:tabs>
          <w:tab w:val="left" w:pos="900"/>
        </w:tabs>
        <w:ind w:left="1260"/>
        <w:jc w:val="both"/>
        <w:rPr>
          <w:rFonts w:eastAsia="PMingLiU"/>
          <w:sz w:val="22"/>
          <w:szCs w:val="22"/>
        </w:rPr>
      </w:pPr>
      <w:r w:rsidRPr="00C821A7">
        <w:rPr>
          <w:rFonts w:eastAsia="PMingLiU"/>
          <w:sz w:val="22"/>
          <w:szCs w:val="22"/>
        </w:rPr>
        <w:t xml:space="preserve">(c) </w:t>
      </w:r>
      <w:proofErr w:type="gramStart"/>
      <w:r w:rsidRPr="00C821A7">
        <w:rPr>
          <w:rFonts w:eastAsia="PMingLiU"/>
          <w:sz w:val="22"/>
          <w:szCs w:val="22"/>
        </w:rPr>
        <w:t>the</w:t>
      </w:r>
      <w:proofErr w:type="gramEnd"/>
      <w:r w:rsidRPr="00C821A7">
        <w:rPr>
          <w:rFonts w:eastAsia="PMingLiU"/>
          <w:sz w:val="22"/>
          <w:szCs w:val="22"/>
        </w:rPr>
        <w:t xml:space="preserve"> impracticability of preventing or avoiding the invasion.</w:t>
      </w:r>
      <w:r w:rsidR="00C87AB1" w:rsidRPr="00C821A7">
        <w:rPr>
          <w:rFonts w:eastAsia="PMingLiU"/>
          <w:sz w:val="22"/>
          <w:szCs w:val="22"/>
        </w:rPr>
        <w:t>”</w:t>
      </w:r>
    </w:p>
    <w:p w:rsidR="00056261" w:rsidRPr="00C821A7" w:rsidRDefault="00056261" w:rsidP="00056261">
      <w:pPr>
        <w:tabs>
          <w:tab w:val="left" w:pos="900"/>
        </w:tabs>
        <w:jc w:val="both"/>
        <w:rPr>
          <w:rFonts w:eastAsia="PMingLiU"/>
          <w:sz w:val="22"/>
          <w:szCs w:val="22"/>
        </w:rPr>
      </w:pPr>
    </w:p>
    <w:p w:rsidR="00056261" w:rsidRPr="00C821A7" w:rsidRDefault="00C87AB1" w:rsidP="00C87AB1">
      <w:pPr>
        <w:tabs>
          <w:tab w:val="left" w:pos="900"/>
        </w:tabs>
        <w:jc w:val="both"/>
        <w:rPr>
          <w:rFonts w:eastAsia="PMingLiU"/>
          <w:sz w:val="22"/>
          <w:szCs w:val="22"/>
        </w:rPr>
      </w:pPr>
      <w:r w:rsidRPr="00C821A7">
        <w:rPr>
          <w:rFonts w:eastAsia="PMingLiU"/>
          <w:sz w:val="22"/>
          <w:szCs w:val="22"/>
        </w:rPr>
        <w:t xml:space="preserve">See also </w:t>
      </w:r>
      <w:r w:rsidRPr="00C821A7">
        <w:rPr>
          <w:rFonts w:eastAsia="PMingLiU"/>
          <w:sz w:val="22"/>
          <w:szCs w:val="22"/>
          <w:u w:val="single"/>
        </w:rPr>
        <w:t>Crest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145; </w:t>
      </w:r>
      <w:r w:rsidR="00056261" w:rsidRPr="00C821A7">
        <w:rPr>
          <w:rFonts w:eastAsia="PMingLiU"/>
          <w:sz w:val="22"/>
          <w:szCs w:val="22"/>
        </w:rPr>
        <w:t xml:space="preserve">RESTATEMENT (SECOND) OF TORTS § 828 (AM. L. </w:t>
      </w:r>
      <w:r w:rsidRPr="00C821A7">
        <w:rPr>
          <w:rFonts w:eastAsia="PMingLiU"/>
          <w:sz w:val="22"/>
          <w:szCs w:val="22"/>
        </w:rPr>
        <w:t>INST. 1979)</w:t>
      </w:r>
    </w:p>
    <w:p w:rsidR="00056261" w:rsidRPr="00C821A7" w:rsidRDefault="00056261" w:rsidP="00056261">
      <w:pPr>
        <w:tabs>
          <w:tab w:val="left" w:pos="900"/>
        </w:tabs>
        <w:jc w:val="both"/>
        <w:rPr>
          <w:rFonts w:eastAsia="PMingLiU"/>
          <w:sz w:val="22"/>
          <w:szCs w:val="22"/>
        </w:rPr>
      </w:pPr>
    </w:p>
    <w:p w:rsidR="00054572" w:rsidRPr="00C821A7" w:rsidRDefault="00C87AB1" w:rsidP="00054572">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lastRenderedPageBreak/>
        <w:t>Crest</w:t>
      </w:r>
      <w:r w:rsidR="00054572" w:rsidRPr="00C821A7">
        <w:rPr>
          <w:rFonts w:eastAsia="PMingLiU"/>
          <w:sz w:val="22"/>
          <w:szCs w:val="22"/>
        </w:rPr>
        <w:t xml:space="preserve">, </w:t>
      </w:r>
      <w:r w:rsidR="00056261" w:rsidRPr="00C821A7">
        <w:rPr>
          <w:rFonts w:eastAsia="PMingLiU"/>
          <w:sz w:val="22"/>
          <w:szCs w:val="22"/>
          <w:u w:val="single"/>
        </w:rPr>
        <w:t>supra</w:t>
      </w:r>
      <w:r w:rsidR="00A57AC3" w:rsidRPr="00C821A7">
        <w:rPr>
          <w:rFonts w:eastAsia="PMingLiU"/>
          <w:sz w:val="22"/>
          <w:szCs w:val="22"/>
        </w:rPr>
        <w:t>,</w:t>
      </w:r>
      <w:r w:rsidR="00056261" w:rsidRPr="00C821A7">
        <w:rPr>
          <w:rFonts w:eastAsia="PMingLiU"/>
          <w:sz w:val="22"/>
          <w:szCs w:val="22"/>
        </w:rPr>
        <w:t xml:space="preserve"> at 139 </w:t>
      </w:r>
      <w:r w:rsidR="00054572" w:rsidRPr="00C821A7">
        <w:rPr>
          <w:rFonts w:eastAsia="PMingLiU"/>
          <w:sz w:val="22"/>
          <w:szCs w:val="22"/>
        </w:rPr>
        <w:t>(quoting RESTATEMENT (SECOND) OF TORTS § 826 (AM. L. INST. 1979)).</w:t>
      </w:r>
    </w:p>
    <w:p w:rsidR="00054572" w:rsidRPr="00C821A7" w:rsidRDefault="00054572" w:rsidP="00054572">
      <w:pPr>
        <w:pStyle w:val="ListParagraph"/>
        <w:rPr>
          <w:rFonts w:eastAsia="PMingLiU"/>
          <w:sz w:val="22"/>
          <w:szCs w:val="22"/>
          <w:u w:val="single"/>
        </w:rPr>
      </w:pPr>
    </w:p>
    <w:p w:rsidR="00971AFF" w:rsidRPr="00C821A7" w:rsidRDefault="00C065EF"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667-668</w:t>
      </w:r>
      <w:proofErr w:type="gramStart"/>
      <w:r w:rsidRPr="00C821A7">
        <w:rPr>
          <w:rFonts w:eastAsia="PMingLiU"/>
          <w:sz w:val="22"/>
          <w:szCs w:val="22"/>
        </w:rPr>
        <w:t>;</w:t>
      </w:r>
      <w:proofErr w:type="gramEnd"/>
      <w:r w:rsidRPr="00C821A7">
        <w:rPr>
          <w:rFonts w:eastAsia="PMingLiU"/>
          <w:sz w:val="22"/>
          <w:szCs w:val="22"/>
        </w:rPr>
        <w:t xml:space="preserve"> Restatement (Second) of Torts § 822 (1979).</w:t>
      </w:r>
    </w:p>
    <w:p w:rsidR="00971AFF" w:rsidRPr="00C821A7" w:rsidRDefault="00971AFF" w:rsidP="00971AFF">
      <w:pPr>
        <w:pStyle w:val="ListParagraph"/>
        <w:rPr>
          <w:rFonts w:eastAsia="PMingLiU"/>
          <w:sz w:val="22"/>
          <w:szCs w:val="22"/>
        </w:rPr>
      </w:pPr>
    </w:p>
    <w:p w:rsidR="00556C93" w:rsidRPr="00C821A7" w:rsidRDefault="00556C93" w:rsidP="00556C93">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661. </w:t>
      </w:r>
    </w:p>
    <w:p w:rsidR="00556C93" w:rsidRPr="00C821A7" w:rsidRDefault="00556C93" w:rsidP="00556C93">
      <w:pPr>
        <w:pStyle w:val="ListParagraph"/>
        <w:rPr>
          <w:rFonts w:eastAsia="PMingLiU"/>
          <w:sz w:val="22"/>
          <w:szCs w:val="22"/>
          <w:u w:val="single"/>
        </w:rPr>
      </w:pPr>
    </w:p>
    <w:p w:rsidR="00971AFF" w:rsidRPr="00C821A7" w:rsidRDefault="00C065EF"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668.</w:t>
      </w:r>
    </w:p>
    <w:p w:rsidR="00971AFF" w:rsidRPr="00C821A7" w:rsidRDefault="00971AFF" w:rsidP="00971AFF">
      <w:pPr>
        <w:pStyle w:val="ListParagraph"/>
        <w:rPr>
          <w:rFonts w:eastAsia="PMingLiU"/>
          <w:sz w:val="22"/>
          <w:szCs w:val="22"/>
        </w:rPr>
      </w:pPr>
    </w:p>
    <w:p w:rsidR="00971AFF" w:rsidRPr="00C821A7" w:rsidRDefault="00C065EF"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Restatement (Second) of Torts § 822 (1979). See, also, Restatement (Second) of Torts § 519, 520 and Comments.</w:t>
      </w:r>
    </w:p>
    <w:p w:rsidR="00971AFF" w:rsidRPr="00C821A7" w:rsidRDefault="00971AFF" w:rsidP="00971AFF">
      <w:pPr>
        <w:pStyle w:val="ListParagraph"/>
        <w:tabs>
          <w:tab w:val="left" w:pos="900"/>
        </w:tabs>
        <w:ind w:left="360"/>
        <w:jc w:val="both"/>
        <w:rPr>
          <w:rFonts w:eastAsia="PMingLiU"/>
          <w:sz w:val="22"/>
          <w:szCs w:val="22"/>
        </w:rPr>
      </w:pPr>
    </w:p>
    <w:p w:rsidR="00C065EF" w:rsidRPr="00C821A7" w:rsidRDefault="00971AFF" w:rsidP="00C825A5">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w:t>
      </w:r>
      <w:r w:rsidR="00C065EF" w:rsidRPr="00C821A7">
        <w:rPr>
          <w:rFonts w:eastAsia="PMingLiU"/>
          <w:sz w:val="22"/>
          <w:szCs w:val="22"/>
        </w:rPr>
        <w:t xml:space="preserve">[I]n those cases where the nuisance is created by the defendant, no question of negligence or want of ordinary care is involved. As we explained in </w:t>
      </w:r>
      <w:r w:rsidR="00C065EF" w:rsidRPr="00C821A7">
        <w:rPr>
          <w:rFonts w:eastAsia="PMingLiU"/>
          <w:sz w:val="22"/>
          <w:szCs w:val="22"/>
          <w:u w:val="single"/>
        </w:rPr>
        <w:t>Brown</w:t>
      </w:r>
      <w:r w:rsidR="00C065EF" w:rsidRPr="00C821A7">
        <w:rPr>
          <w:rFonts w:eastAsia="PMingLiU"/>
          <w:sz w:val="22"/>
          <w:szCs w:val="22"/>
        </w:rPr>
        <w:t>, this rule applies in cases such as ‘a tannery or a slaughter-house in the midst of a residential area, where the mere act of using the pla</w:t>
      </w:r>
      <w:r w:rsidRPr="00C821A7">
        <w:rPr>
          <w:rFonts w:eastAsia="PMingLiU"/>
          <w:sz w:val="22"/>
          <w:szCs w:val="22"/>
        </w:rPr>
        <w:t xml:space="preserve">nt creates the nuisance.’ </w:t>
      </w:r>
      <w:r w:rsidRPr="00C821A7">
        <w:rPr>
          <w:rFonts w:eastAsia="PMingLiU"/>
          <w:sz w:val="22"/>
          <w:szCs w:val="22"/>
          <w:u w:val="single"/>
        </w:rPr>
        <w:t>Id</w:t>
      </w:r>
      <w:r w:rsidRPr="00C821A7">
        <w:rPr>
          <w:rFonts w:eastAsia="PMingLiU"/>
          <w:sz w:val="22"/>
          <w:szCs w:val="22"/>
        </w:rPr>
        <w:t xml:space="preserve">.” </w:t>
      </w:r>
      <w:r w:rsidR="00C065EF" w:rsidRPr="00C821A7">
        <w:rPr>
          <w:rFonts w:eastAsia="PMingLiU"/>
          <w:sz w:val="22"/>
          <w:szCs w:val="22"/>
          <w:u w:val="single"/>
        </w:rPr>
        <w:t>Milwaukee Metropolitan Sewerage District v. City of Milwaukee</w:t>
      </w:r>
      <w:r w:rsidR="00C065EF" w:rsidRPr="00C821A7">
        <w:rPr>
          <w:rFonts w:eastAsia="PMingLiU"/>
          <w:sz w:val="22"/>
          <w:szCs w:val="22"/>
        </w:rPr>
        <w:t xml:space="preserve">, 277 Wis.2d 635, 661 (2005), quoting from </w:t>
      </w:r>
      <w:r w:rsidR="00C065EF" w:rsidRPr="00C821A7">
        <w:rPr>
          <w:rFonts w:eastAsia="PMingLiU"/>
          <w:sz w:val="22"/>
          <w:szCs w:val="22"/>
          <w:u w:val="single"/>
        </w:rPr>
        <w:t>Brown v. Milwaukee Terminal Rwy. Co.</w:t>
      </w:r>
      <w:r w:rsidRPr="00C821A7">
        <w:rPr>
          <w:rFonts w:eastAsia="PMingLiU"/>
          <w:sz w:val="22"/>
          <w:szCs w:val="22"/>
        </w:rPr>
        <w:t xml:space="preserve">, 199 </w:t>
      </w:r>
      <w:proofErr w:type="spellStart"/>
      <w:r w:rsidRPr="00C821A7">
        <w:rPr>
          <w:rFonts w:eastAsia="PMingLiU"/>
          <w:sz w:val="22"/>
          <w:szCs w:val="22"/>
        </w:rPr>
        <w:t>Wis</w:t>
      </w:r>
      <w:proofErr w:type="spellEnd"/>
      <w:r w:rsidRPr="00C821A7">
        <w:rPr>
          <w:rFonts w:eastAsia="PMingLiU"/>
          <w:sz w:val="22"/>
          <w:szCs w:val="22"/>
        </w:rPr>
        <w:t xml:space="preserve"> 575, 589 (1929). </w:t>
      </w:r>
      <w:r w:rsidR="00C065EF" w:rsidRPr="00C821A7">
        <w:rPr>
          <w:rFonts w:eastAsia="PMingLiU"/>
          <w:sz w:val="22"/>
          <w:szCs w:val="22"/>
        </w:rPr>
        <w:t xml:space="preserve">This quoted language from </w:t>
      </w:r>
      <w:r w:rsidR="00C065EF" w:rsidRPr="00C821A7">
        <w:rPr>
          <w:rFonts w:eastAsia="PMingLiU"/>
          <w:sz w:val="22"/>
          <w:szCs w:val="22"/>
          <w:u w:val="single"/>
        </w:rPr>
        <w:t>Brown</w:t>
      </w:r>
      <w:r w:rsidR="00C065EF" w:rsidRPr="00C821A7">
        <w:rPr>
          <w:rFonts w:eastAsia="PMingLiU"/>
          <w:sz w:val="22"/>
          <w:szCs w:val="22"/>
        </w:rPr>
        <w:t xml:space="preserve"> appears to square with language in the comments to Restatement (Second) of Torts § 822, though the Restateme</w:t>
      </w:r>
      <w:r w:rsidRPr="00C821A7">
        <w:rPr>
          <w:rFonts w:eastAsia="PMingLiU"/>
          <w:sz w:val="22"/>
          <w:szCs w:val="22"/>
        </w:rPr>
        <w:t xml:space="preserve">nt uses different terminology. </w:t>
      </w:r>
      <w:r w:rsidR="00C065EF" w:rsidRPr="00C821A7">
        <w:rPr>
          <w:rFonts w:eastAsia="PMingLiU"/>
          <w:sz w:val="22"/>
          <w:szCs w:val="22"/>
        </w:rPr>
        <w:t xml:space="preserve">Comment c to Restatement of Torts § 822 describes the bases for nuisance liability as follows:  </w:t>
      </w:r>
    </w:p>
    <w:p w:rsidR="00C065EF" w:rsidRPr="00C821A7" w:rsidRDefault="00C065EF" w:rsidP="00971AFF">
      <w:pPr>
        <w:pStyle w:val="ListParagraph"/>
        <w:tabs>
          <w:tab w:val="left" w:pos="900"/>
        </w:tabs>
        <w:jc w:val="both"/>
        <w:rPr>
          <w:rFonts w:eastAsia="PMingLiU"/>
          <w:sz w:val="22"/>
          <w:szCs w:val="22"/>
        </w:rPr>
      </w:pPr>
    </w:p>
    <w:p w:rsidR="00C065EF" w:rsidRPr="00C821A7" w:rsidRDefault="00C065EF" w:rsidP="0065277D">
      <w:pPr>
        <w:pStyle w:val="ListParagraph"/>
        <w:ind w:left="450" w:right="450"/>
        <w:jc w:val="both"/>
        <w:rPr>
          <w:rFonts w:eastAsia="PMingLiU"/>
          <w:sz w:val="22"/>
          <w:szCs w:val="22"/>
        </w:rPr>
      </w:pPr>
      <w:r w:rsidRPr="00C821A7">
        <w:rPr>
          <w:rFonts w:eastAsia="PMingLiU"/>
          <w:sz w:val="22"/>
          <w:szCs w:val="22"/>
        </w:rPr>
        <w:t>“An invasion of a person's interest in the private use and enjoyment of land by any type of liability-forming conduct is private nuisance. The invasion that subjects a person to liability may be either intentional or unintentional. A person is subject to liability for an intentional invasion when his conduct is unreasonable under the circumstances of the particular case, and he is subject to liability for an unintentional invasion when his conduct is negligent, reckless or abnormally dangerous. These are the types of conduct that are stated in this Chapter as subjecting a person to liability for invasions of interests in the private use and enjoyment of land.” (</w:t>
      </w:r>
      <w:proofErr w:type="gramStart"/>
      <w:r w:rsidRPr="00C821A7">
        <w:rPr>
          <w:rFonts w:eastAsia="PMingLiU"/>
          <w:sz w:val="22"/>
          <w:szCs w:val="22"/>
        </w:rPr>
        <w:t>emphasis</w:t>
      </w:r>
      <w:proofErr w:type="gramEnd"/>
      <w:r w:rsidRPr="00C821A7">
        <w:rPr>
          <w:rFonts w:eastAsia="PMingLiU"/>
          <w:sz w:val="22"/>
          <w:szCs w:val="22"/>
        </w:rPr>
        <w:t xml:space="preserve"> added). Restatement (Second) of Torts § 822, Comment c (1979). </w:t>
      </w:r>
    </w:p>
    <w:p w:rsidR="00C065EF" w:rsidRPr="00C821A7" w:rsidRDefault="00C065EF" w:rsidP="0065277D">
      <w:pPr>
        <w:pStyle w:val="ListParagraph"/>
        <w:tabs>
          <w:tab w:val="left" w:pos="900"/>
        </w:tabs>
        <w:jc w:val="both"/>
        <w:rPr>
          <w:rFonts w:eastAsia="PMingLiU"/>
          <w:sz w:val="22"/>
          <w:szCs w:val="22"/>
        </w:rPr>
      </w:pPr>
    </w:p>
    <w:p w:rsidR="00C065EF" w:rsidRPr="00C821A7" w:rsidRDefault="00C065EF" w:rsidP="0065277D">
      <w:pPr>
        <w:ind w:firstLine="450"/>
        <w:jc w:val="both"/>
        <w:rPr>
          <w:rFonts w:eastAsia="PMingLiU"/>
          <w:sz w:val="22"/>
          <w:szCs w:val="22"/>
        </w:rPr>
      </w:pPr>
      <w:r w:rsidRPr="00C821A7">
        <w:rPr>
          <w:rFonts w:eastAsia="PMingLiU"/>
          <w:sz w:val="22"/>
          <w:szCs w:val="22"/>
        </w:rPr>
        <w:t xml:space="preserve">The Comment makes clear that an unintentional invasion is actionable not only if the defendant’s conduct is negligent or reckless, but also if it is “abnormally dangerous.” The language in </w:t>
      </w:r>
      <w:r w:rsidRPr="00C821A7">
        <w:rPr>
          <w:rFonts w:eastAsia="PMingLiU"/>
          <w:sz w:val="22"/>
          <w:szCs w:val="22"/>
          <w:u w:val="single"/>
        </w:rPr>
        <w:t>Milwaukee Metropolitan Sewerage District</w:t>
      </w:r>
      <w:r w:rsidRPr="00C821A7">
        <w:rPr>
          <w:rFonts w:eastAsia="PMingLiU"/>
          <w:sz w:val="22"/>
          <w:szCs w:val="22"/>
        </w:rPr>
        <w:t xml:space="preserve"> referencing the holding in </w:t>
      </w:r>
      <w:r w:rsidRPr="00C821A7">
        <w:rPr>
          <w:rFonts w:eastAsia="PMingLiU"/>
          <w:sz w:val="22"/>
          <w:szCs w:val="22"/>
          <w:u w:val="single"/>
        </w:rPr>
        <w:t>Brown</w:t>
      </w:r>
      <w:r w:rsidRPr="00C821A7">
        <w:rPr>
          <w:rFonts w:eastAsia="PMingLiU"/>
          <w:sz w:val="22"/>
          <w:szCs w:val="22"/>
        </w:rPr>
        <w:t xml:space="preserve">, </w:t>
      </w:r>
      <w:r w:rsidRPr="00C821A7">
        <w:rPr>
          <w:rFonts w:eastAsia="PMingLiU"/>
          <w:sz w:val="22"/>
          <w:szCs w:val="22"/>
          <w:u w:val="single"/>
        </w:rPr>
        <w:t>supra</w:t>
      </w:r>
      <w:r w:rsidRPr="00C821A7">
        <w:rPr>
          <w:rFonts w:eastAsia="PMingLiU"/>
          <w:sz w:val="22"/>
          <w:szCs w:val="22"/>
        </w:rPr>
        <w:t xml:space="preserve">, that no question of negligence is involved where the defendant created the nuisance, appears to contemplate the same type of </w:t>
      </w:r>
      <w:proofErr w:type="gramStart"/>
      <w:r w:rsidRPr="00C821A7">
        <w:rPr>
          <w:rFonts w:eastAsia="PMingLiU"/>
          <w:sz w:val="22"/>
          <w:szCs w:val="22"/>
        </w:rPr>
        <w:t>conduct which</w:t>
      </w:r>
      <w:proofErr w:type="gramEnd"/>
      <w:r w:rsidRPr="00C821A7">
        <w:rPr>
          <w:rFonts w:eastAsia="PMingLiU"/>
          <w:sz w:val="22"/>
          <w:szCs w:val="22"/>
        </w:rPr>
        <w:t xml:space="preserve"> the Comment in the Restatement characterizes as “abnormally dangerous.” </w:t>
      </w:r>
      <w:r w:rsidRPr="00C821A7">
        <w:rPr>
          <w:rFonts w:eastAsia="PMingLiU"/>
          <w:sz w:val="22"/>
          <w:szCs w:val="22"/>
          <w:u w:val="single"/>
        </w:rPr>
        <w:t>Brown</w:t>
      </w:r>
      <w:r w:rsidRPr="00C821A7">
        <w:rPr>
          <w:rFonts w:eastAsia="PMingLiU"/>
          <w:sz w:val="22"/>
          <w:szCs w:val="22"/>
        </w:rPr>
        <w:t xml:space="preserve"> gives as an example a “tannery or slaughter-house in a residential area.” Comment j to § 822 gives the following examples: </w:t>
      </w:r>
    </w:p>
    <w:p w:rsidR="00C065EF" w:rsidRPr="00C821A7" w:rsidRDefault="00C065EF" w:rsidP="0065277D">
      <w:pPr>
        <w:pStyle w:val="ListParagraph"/>
        <w:tabs>
          <w:tab w:val="left" w:pos="900"/>
        </w:tabs>
        <w:jc w:val="both"/>
        <w:rPr>
          <w:rFonts w:eastAsia="PMingLiU"/>
          <w:sz w:val="22"/>
          <w:szCs w:val="22"/>
        </w:rPr>
      </w:pPr>
    </w:p>
    <w:p w:rsidR="00C065EF" w:rsidRPr="00C821A7" w:rsidRDefault="00C065EF" w:rsidP="0065277D">
      <w:pPr>
        <w:pStyle w:val="ListParagraph"/>
        <w:ind w:left="450" w:right="450"/>
        <w:jc w:val="both"/>
        <w:rPr>
          <w:rFonts w:eastAsia="PMingLiU"/>
          <w:sz w:val="22"/>
          <w:szCs w:val="22"/>
        </w:rPr>
      </w:pPr>
      <w:r w:rsidRPr="00C821A7">
        <w:rPr>
          <w:rFonts w:eastAsia="PMingLiU"/>
          <w:sz w:val="22"/>
          <w:szCs w:val="22"/>
        </w:rPr>
        <w:t xml:space="preserve">“The last basis for liability for a private nuisance is the defendant's abnormally dangerous activity, enterprise or maintained condition, under the rules stated in Chapters 20 and 21. </w:t>
      </w:r>
      <w:proofErr w:type="gramStart"/>
      <w:r w:rsidRPr="00C821A7">
        <w:rPr>
          <w:rFonts w:eastAsia="PMingLiU"/>
          <w:sz w:val="22"/>
          <w:szCs w:val="22"/>
        </w:rPr>
        <w:t>Thus</w:t>
      </w:r>
      <w:proofErr w:type="gramEnd"/>
      <w:r w:rsidRPr="00C821A7">
        <w:rPr>
          <w:rFonts w:eastAsia="PMingLiU"/>
          <w:sz w:val="22"/>
          <w:szCs w:val="22"/>
        </w:rPr>
        <w:t xml:space="preserve"> a dog known by the owner to be vicious may create a private nuisance when it interferes with the use or enjoyment of the land next door, and the owner may be subject to strict liability beca</w:t>
      </w:r>
      <w:r w:rsidR="0065277D" w:rsidRPr="00C821A7">
        <w:rPr>
          <w:rFonts w:eastAsia="PMingLiU"/>
          <w:sz w:val="22"/>
          <w:szCs w:val="22"/>
        </w:rPr>
        <w:t>use of his knowledge of the dog’</w:t>
      </w:r>
      <w:r w:rsidRPr="00C821A7">
        <w:rPr>
          <w:rFonts w:eastAsia="PMingLiU"/>
          <w:sz w:val="22"/>
          <w:szCs w:val="22"/>
        </w:rPr>
        <w:t>s propensities. So likewise, blasting activities or the storage of a large quantity of explosives in an inappropriate place may create a private nuisance because of the resulting interference with the use and enjoyment of land in the vicinity.”</w:t>
      </w:r>
    </w:p>
    <w:p w:rsidR="00C065EF" w:rsidRPr="00C821A7" w:rsidRDefault="00C065EF" w:rsidP="0065277D">
      <w:pPr>
        <w:pStyle w:val="ListParagraph"/>
        <w:tabs>
          <w:tab w:val="left" w:pos="900"/>
        </w:tabs>
        <w:jc w:val="both"/>
        <w:rPr>
          <w:rFonts w:eastAsia="PMingLiU"/>
          <w:sz w:val="22"/>
          <w:szCs w:val="22"/>
        </w:rPr>
      </w:pPr>
    </w:p>
    <w:p w:rsidR="00C065EF" w:rsidRPr="00C821A7" w:rsidRDefault="00C065EF" w:rsidP="0065277D">
      <w:pPr>
        <w:ind w:firstLine="450"/>
        <w:jc w:val="both"/>
        <w:rPr>
          <w:rFonts w:eastAsia="PMingLiU"/>
          <w:sz w:val="22"/>
          <w:szCs w:val="22"/>
        </w:rPr>
      </w:pPr>
      <w:r w:rsidRPr="00C821A7">
        <w:rPr>
          <w:rFonts w:eastAsia="PMingLiU"/>
          <w:sz w:val="22"/>
          <w:szCs w:val="22"/>
        </w:rPr>
        <w:t xml:space="preserve">Thus, although there has been no reported Wisconsin decision explicitly involving nuisance liability predicated on abnormally dangerous behavior, the Committee believes the court’s discussion of nuisances </w:t>
      </w:r>
      <w:r w:rsidRPr="00C821A7">
        <w:rPr>
          <w:rFonts w:eastAsia="PMingLiU"/>
          <w:sz w:val="22"/>
          <w:szCs w:val="22"/>
        </w:rPr>
        <w:lastRenderedPageBreak/>
        <w:t xml:space="preserve">“created by” the defendant in </w:t>
      </w:r>
      <w:r w:rsidRPr="00C821A7">
        <w:rPr>
          <w:rFonts w:eastAsia="PMingLiU"/>
          <w:sz w:val="22"/>
          <w:szCs w:val="22"/>
          <w:u w:val="single"/>
        </w:rPr>
        <w:t>Milwaukee Metropolitan Sewerage District</w:t>
      </w:r>
      <w:r w:rsidRPr="00C821A7">
        <w:rPr>
          <w:rFonts w:eastAsia="PMingLiU"/>
          <w:sz w:val="22"/>
          <w:szCs w:val="22"/>
        </w:rPr>
        <w:t xml:space="preserve"> </w:t>
      </w:r>
      <w:proofErr w:type="gramStart"/>
      <w:r w:rsidRPr="00C821A7">
        <w:rPr>
          <w:rFonts w:eastAsia="PMingLiU"/>
          <w:sz w:val="22"/>
          <w:szCs w:val="22"/>
        </w:rPr>
        <w:t>is intended</w:t>
      </w:r>
      <w:proofErr w:type="gramEnd"/>
      <w:r w:rsidRPr="00C821A7">
        <w:rPr>
          <w:rFonts w:eastAsia="PMingLiU"/>
          <w:sz w:val="22"/>
          <w:szCs w:val="22"/>
        </w:rPr>
        <w:t xml:space="preserve"> to describe what the Restatement regards as abnormally dangerous behavior. (For specific recognition that Wisconsin recognizes intentional conduct, negligence and abnormally dangerous activity as the three grounds for maintaining a nuisance claim, see, </w:t>
      </w:r>
      <w:r w:rsidRPr="00C821A7">
        <w:rPr>
          <w:rFonts w:eastAsia="PMingLiU"/>
          <w:sz w:val="22"/>
          <w:szCs w:val="22"/>
          <w:u w:val="single"/>
        </w:rPr>
        <w:t>Physicians Plus</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1</w:t>
      </w:r>
      <w:r w:rsidR="0065277D" w:rsidRPr="00C821A7">
        <w:rPr>
          <w:rFonts w:eastAsia="PMingLiU"/>
          <w:sz w:val="22"/>
          <w:szCs w:val="22"/>
        </w:rPr>
        <w:t xml:space="preserve">45-146, J. Bradley concurring.) </w:t>
      </w:r>
      <w:r w:rsidRPr="00C821A7">
        <w:rPr>
          <w:rFonts w:eastAsia="PMingLiU"/>
          <w:sz w:val="22"/>
          <w:szCs w:val="22"/>
        </w:rPr>
        <w:t xml:space="preserve">The Committee also believes “abnormally dangerous activity” is a better description of the </w:t>
      </w:r>
      <w:proofErr w:type="gramStart"/>
      <w:r w:rsidRPr="00C821A7">
        <w:rPr>
          <w:rFonts w:eastAsia="PMingLiU"/>
          <w:sz w:val="22"/>
          <w:szCs w:val="22"/>
        </w:rPr>
        <w:t>conduct which</w:t>
      </w:r>
      <w:proofErr w:type="gramEnd"/>
      <w:r w:rsidRPr="00C821A7">
        <w:rPr>
          <w:rFonts w:eastAsia="PMingLiU"/>
          <w:sz w:val="22"/>
          <w:szCs w:val="22"/>
        </w:rPr>
        <w:t xml:space="preserve"> triggers strict liability than the reference to a nuisance “created” by the defendant for a number of reasons. First, “abnormally dangerous activity” is a more precise description the type of conduct necessary to trigger strict liability. Second, use of the term “created” to describe situations where strict liability applies appears to have its origins from a time when a nuisance itself </w:t>
      </w:r>
      <w:proofErr w:type="gramStart"/>
      <w:r w:rsidRPr="00C821A7">
        <w:rPr>
          <w:rFonts w:eastAsia="PMingLiU"/>
          <w:sz w:val="22"/>
          <w:szCs w:val="22"/>
        </w:rPr>
        <w:t>was considered</w:t>
      </w:r>
      <w:proofErr w:type="gramEnd"/>
      <w:r w:rsidRPr="00C821A7">
        <w:rPr>
          <w:rFonts w:eastAsia="PMingLiU"/>
          <w:sz w:val="22"/>
          <w:szCs w:val="22"/>
        </w:rPr>
        <w:t xml:space="preserve"> actionable without any underlying tortious conduct. The Brown decision includes the following language:  “‘Negligence of the defendant is not ordinarily an essential element in an action for damages sustained by reason of a nuisance. The action is founded on the wrongful act in creating or maintaining it, and the negligence of the defendant, unless in exceptional cases, is not material.’ </w:t>
      </w:r>
      <w:r w:rsidRPr="00C821A7">
        <w:rPr>
          <w:rFonts w:eastAsia="PMingLiU"/>
          <w:sz w:val="22"/>
          <w:szCs w:val="22"/>
          <w:u w:val="single"/>
        </w:rPr>
        <w:t xml:space="preserve">Lamming v. </w:t>
      </w:r>
      <w:proofErr w:type="spellStart"/>
      <w:r w:rsidRPr="00C821A7">
        <w:rPr>
          <w:rFonts w:eastAsia="PMingLiU"/>
          <w:sz w:val="22"/>
          <w:szCs w:val="22"/>
          <w:u w:val="single"/>
        </w:rPr>
        <w:t>Galusha</w:t>
      </w:r>
      <w:proofErr w:type="spellEnd"/>
      <w:r w:rsidRPr="00C821A7">
        <w:rPr>
          <w:rFonts w:eastAsia="PMingLiU"/>
          <w:sz w:val="22"/>
          <w:szCs w:val="22"/>
        </w:rPr>
        <w:t>, 135 N.Y. 239, 242, 31 N.E. 1024. See, also, Jo</w:t>
      </w:r>
      <w:r w:rsidR="0065277D" w:rsidRPr="00C821A7">
        <w:rPr>
          <w:rFonts w:eastAsia="PMingLiU"/>
          <w:sz w:val="22"/>
          <w:szCs w:val="22"/>
        </w:rPr>
        <w:t xml:space="preserve">yce, </w:t>
      </w:r>
      <w:r w:rsidRPr="00C821A7">
        <w:rPr>
          <w:rFonts w:eastAsia="PMingLiU"/>
          <w:sz w:val="22"/>
          <w:szCs w:val="22"/>
        </w:rPr>
        <w:t>Nuisances, 80.” (</w:t>
      </w:r>
      <w:proofErr w:type="gramStart"/>
      <w:r w:rsidRPr="00C821A7">
        <w:rPr>
          <w:rFonts w:eastAsia="PMingLiU"/>
          <w:sz w:val="22"/>
          <w:szCs w:val="22"/>
        </w:rPr>
        <w:t>emphasis</w:t>
      </w:r>
      <w:proofErr w:type="gramEnd"/>
      <w:r w:rsidRPr="00C821A7">
        <w:rPr>
          <w:rFonts w:eastAsia="PMingLiU"/>
          <w:sz w:val="22"/>
          <w:szCs w:val="22"/>
        </w:rPr>
        <w:t xml:space="preserve"> added) </w:t>
      </w:r>
      <w:r w:rsidRPr="00C821A7">
        <w:rPr>
          <w:rFonts w:eastAsia="PMingLiU"/>
          <w:sz w:val="22"/>
          <w:szCs w:val="22"/>
          <w:u w:val="single"/>
        </w:rPr>
        <w:t>Brown</w:t>
      </w:r>
      <w:r w:rsidRPr="00C821A7">
        <w:rPr>
          <w:rFonts w:eastAsia="PMingLiU"/>
          <w:sz w:val="22"/>
          <w:szCs w:val="22"/>
        </w:rPr>
        <w:t xml:space="preserve">, </w:t>
      </w:r>
      <w:r w:rsidRPr="00C821A7">
        <w:rPr>
          <w:rFonts w:eastAsia="PMingLiU"/>
          <w:sz w:val="22"/>
          <w:szCs w:val="22"/>
          <w:u w:val="single"/>
        </w:rPr>
        <w:t>supra</w:t>
      </w:r>
      <w:r w:rsidRPr="00C821A7">
        <w:rPr>
          <w:rFonts w:eastAsia="PMingLiU"/>
          <w:sz w:val="22"/>
          <w:szCs w:val="22"/>
        </w:rPr>
        <w:t xml:space="preserve">, at 589.  While Milwaukee Metropolitan Sewerage District quotes </w:t>
      </w:r>
      <w:r w:rsidRPr="00C821A7">
        <w:rPr>
          <w:rFonts w:eastAsia="PMingLiU"/>
          <w:sz w:val="22"/>
          <w:szCs w:val="22"/>
          <w:u w:val="single"/>
        </w:rPr>
        <w:t>Brown</w:t>
      </w:r>
      <w:r w:rsidRPr="00C821A7">
        <w:rPr>
          <w:rFonts w:eastAsia="PMingLiU"/>
          <w:sz w:val="22"/>
          <w:szCs w:val="22"/>
        </w:rPr>
        <w:t xml:space="preserve"> for the proposition that negligence </w:t>
      </w:r>
      <w:proofErr w:type="gramStart"/>
      <w:r w:rsidRPr="00C821A7">
        <w:rPr>
          <w:rFonts w:eastAsia="PMingLiU"/>
          <w:sz w:val="22"/>
          <w:szCs w:val="22"/>
        </w:rPr>
        <w:t>need not be proved</w:t>
      </w:r>
      <w:proofErr w:type="gramEnd"/>
      <w:r w:rsidRPr="00C821A7">
        <w:rPr>
          <w:rFonts w:eastAsia="PMingLiU"/>
          <w:sz w:val="22"/>
          <w:szCs w:val="22"/>
        </w:rPr>
        <w:t xml:space="preserve"> where the defendant created a nuisance, </w:t>
      </w:r>
      <w:r w:rsidRPr="00C821A7">
        <w:rPr>
          <w:rFonts w:eastAsia="PMingLiU"/>
          <w:sz w:val="22"/>
          <w:szCs w:val="22"/>
          <w:u w:val="single"/>
        </w:rPr>
        <w:t>Brown</w:t>
      </w:r>
      <w:r w:rsidRPr="00C821A7">
        <w:rPr>
          <w:rFonts w:eastAsia="PMingLiU"/>
          <w:sz w:val="22"/>
          <w:szCs w:val="22"/>
        </w:rPr>
        <w:t xml:space="preserve"> itself concludes that negligence need not be demonstrated where the defendant maintained a nuisance either.  </w:t>
      </w:r>
      <w:r w:rsidRPr="00C821A7">
        <w:rPr>
          <w:rFonts w:eastAsia="PMingLiU"/>
          <w:sz w:val="22"/>
          <w:szCs w:val="22"/>
          <w:u w:val="single"/>
        </w:rPr>
        <w:t>Lamming</w:t>
      </w:r>
      <w:r w:rsidRPr="00C821A7">
        <w:rPr>
          <w:rFonts w:eastAsia="PMingLiU"/>
          <w:sz w:val="22"/>
          <w:szCs w:val="22"/>
        </w:rPr>
        <w:t xml:space="preserve">, the New York case cited for this proposition in Brown, </w:t>
      </w:r>
      <w:proofErr w:type="gramStart"/>
      <w:r w:rsidRPr="00C821A7">
        <w:rPr>
          <w:rFonts w:eastAsia="PMingLiU"/>
          <w:sz w:val="22"/>
          <w:szCs w:val="22"/>
        </w:rPr>
        <w:t>was decided</w:t>
      </w:r>
      <w:proofErr w:type="gramEnd"/>
      <w:r w:rsidRPr="00C821A7">
        <w:rPr>
          <w:rFonts w:eastAsia="PMingLiU"/>
          <w:sz w:val="22"/>
          <w:szCs w:val="22"/>
        </w:rPr>
        <w:t xml:space="preserve"> in 1892.  </w:t>
      </w:r>
      <w:r w:rsidRPr="00C821A7">
        <w:rPr>
          <w:rFonts w:eastAsia="PMingLiU"/>
          <w:sz w:val="22"/>
          <w:szCs w:val="22"/>
          <w:u w:val="single"/>
        </w:rPr>
        <w:t>Lamming</w:t>
      </w:r>
      <w:r w:rsidRPr="00C821A7">
        <w:rPr>
          <w:rFonts w:eastAsia="PMingLiU"/>
          <w:sz w:val="22"/>
          <w:szCs w:val="22"/>
        </w:rPr>
        <w:t xml:space="preserve"> itself quoted the language from </w:t>
      </w:r>
      <w:r w:rsidRPr="00C821A7">
        <w:rPr>
          <w:rFonts w:eastAsia="PMingLiU"/>
          <w:sz w:val="22"/>
          <w:szCs w:val="22"/>
          <w:u w:val="single"/>
        </w:rPr>
        <w:t>Congreve v. Smith</w:t>
      </w:r>
      <w:r w:rsidRPr="00C821A7">
        <w:rPr>
          <w:rFonts w:eastAsia="PMingLiU"/>
          <w:sz w:val="22"/>
          <w:szCs w:val="22"/>
        </w:rPr>
        <w:t>, 18 N. Y. 79, an 1858 New York appeals court decision.  As noted in Restatement (Second) of Torts §822, Comment b:</w:t>
      </w:r>
    </w:p>
    <w:p w:rsidR="00C065EF" w:rsidRPr="00C821A7" w:rsidRDefault="00C065EF" w:rsidP="0065277D">
      <w:pPr>
        <w:pStyle w:val="ListParagraph"/>
        <w:tabs>
          <w:tab w:val="left" w:pos="900"/>
        </w:tabs>
        <w:jc w:val="both"/>
        <w:rPr>
          <w:rFonts w:eastAsia="PMingLiU"/>
          <w:sz w:val="22"/>
          <w:szCs w:val="22"/>
        </w:rPr>
      </w:pPr>
    </w:p>
    <w:p w:rsidR="00C065EF" w:rsidRPr="00C821A7" w:rsidRDefault="00C065EF" w:rsidP="0065277D">
      <w:pPr>
        <w:ind w:left="450" w:right="450"/>
        <w:jc w:val="both"/>
        <w:rPr>
          <w:rFonts w:eastAsia="PMingLiU"/>
          <w:sz w:val="22"/>
          <w:szCs w:val="22"/>
        </w:rPr>
      </w:pPr>
      <w:r w:rsidRPr="00C821A7">
        <w:rPr>
          <w:rFonts w:eastAsia="PMingLiU"/>
          <w:sz w:val="22"/>
          <w:szCs w:val="22"/>
        </w:rPr>
        <w:t xml:space="preserve">“In early tort law the rule of strict liability prevailed. An actor was liable for the harm caused by his acts whether that harm </w:t>
      </w:r>
      <w:proofErr w:type="gramStart"/>
      <w:r w:rsidRPr="00C821A7">
        <w:rPr>
          <w:rFonts w:eastAsia="PMingLiU"/>
          <w:sz w:val="22"/>
          <w:szCs w:val="22"/>
        </w:rPr>
        <w:t>was done</w:t>
      </w:r>
      <w:proofErr w:type="gramEnd"/>
      <w:r w:rsidRPr="00C821A7">
        <w:rPr>
          <w:rFonts w:eastAsia="PMingLiU"/>
          <w:sz w:val="22"/>
          <w:szCs w:val="22"/>
        </w:rPr>
        <w:t xml:space="preserve"> intentionally, negligently or accidentally. In course of </w:t>
      </w:r>
      <w:proofErr w:type="gramStart"/>
      <w:r w:rsidRPr="00C821A7">
        <w:rPr>
          <w:rFonts w:eastAsia="PMingLiU"/>
          <w:sz w:val="22"/>
          <w:szCs w:val="22"/>
        </w:rPr>
        <w:t>time</w:t>
      </w:r>
      <w:proofErr w:type="gramEnd"/>
      <w:r w:rsidRPr="00C821A7">
        <w:rPr>
          <w:rFonts w:eastAsia="PMingLiU"/>
          <w:sz w:val="22"/>
          <w:szCs w:val="22"/>
        </w:rPr>
        <w:t xml:space="preserve"> the law came to take into consideration not only the harm inflicted but also the type of conduct that caused it, in determining liability. This change came later in the law of private nuisance than in other fields.”</w:t>
      </w:r>
    </w:p>
    <w:p w:rsidR="00C065EF" w:rsidRPr="00C821A7" w:rsidRDefault="00C065EF" w:rsidP="0065277D">
      <w:pPr>
        <w:pStyle w:val="ListParagraph"/>
        <w:tabs>
          <w:tab w:val="left" w:pos="900"/>
        </w:tabs>
        <w:jc w:val="both"/>
        <w:rPr>
          <w:rFonts w:eastAsia="PMingLiU"/>
          <w:sz w:val="22"/>
          <w:szCs w:val="22"/>
        </w:rPr>
      </w:pPr>
    </w:p>
    <w:p w:rsidR="0065277D" w:rsidRPr="00C821A7" w:rsidRDefault="00C065EF" w:rsidP="0065277D">
      <w:pPr>
        <w:ind w:firstLine="450"/>
        <w:jc w:val="both"/>
        <w:rPr>
          <w:rFonts w:eastAsia="PMingLiU"/>
          <w:sz w:val="22"/>
          <w:szCs w:val="22"/>
        </w:rPr>
      </w:pPr>
      <w:r w:rsidRPr="00C821A7">
        <w:rPr>
          <w:rFonts w:eastAsia="PMingLiU"/>
          <w:sz w:val="22"/>
          <w:szCs w:val="22"/>
        </w:rPr>
        <w:t>Whether the quoted language from Brown represents the current state of the law or is a remnant from the days when there was liability for a nuisance without tortious conduct is open to question. However, the relatively recent evolution of nuisance liability rules is another reason the Committee concludes that “abnormally dangerous activity” is a better description than a nuisance “created” by the defendant when referring to a situation that gives rise to strict liability.</w:t>
      </w:r>
    </w:p>
    <w:p w:rsidR="0065277D" w:rsidRPr="00C821A7" w:rsidRDefault="0065277D" w:rsidP="0065277D">
      <w:pPr>
        <w:jc w:val="both"/>
        <w:rPr>
          <w:rFonts w:eastAsia="PMingLiU"/>
          <w:sz w:val="22"/>
          <w:szCs w:val="22"/>
        </w:rPr>
      </w:pPr>
    </w:p>
    <w:p w:rsidR="00C065EF" w:rsidRPr="00C821A7" w:rsidRDefault="00C065EF" w:rsidP="0065277D">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Milwaukee Metropolitan Sewerage District</w:t>
      </w:r>
      <w:r w:rsidRPr="00C821A7">
        <w:rPr>
          <w:rFonts w:eastAsia="PMingLiU"/>
          <w:sz w:val="22"/>
          <w:szCs w:val="22"/>
        </w:rPr>
        <w:t xml:space="preserve">, </w:t>
      </w:r>
      <w:r w:rsidRPr="00C821A7">
        <w:rPr>
          <w:rFonts w:eastAsia="PMingLiU"/>
          <w:sz w:val="22"/>
          <w:szCs w:val="22"/>
          <w:u w:val="single"/>
        </w:rPr>
        <w:t>supra</w:t>
      </w:r>
      <w:r w:rsidR="00A57AC3" w:rsidRPr="00C821A7">
        <w:rPr>
          <w:rFonts w:eastAsia="PMingLiU"/>
          <w:sz w:val="22"/>
          <w:szCs w:val="22"/>
        </w:rPr>
        <w:t>,</w:t>
      </w:r>
      <w:r w:rsidRPr="00C821A7">
        <w:rPr>
          <w:rFonts w:eastAsia="PMingLiU"/>
          <w:sz w:val="22"/>
          <w:szCs w:val="22"/>
        </w:rPr>
        <w:t xml:space="preserve"> at 661, quoting from </w:t>
      </w:r>
      <w:r w:rsidRPr="00C821A7">
        <w:rPr>
          <w:rFonts w:eastAsia="PMingLiU"/>
          <w:sz w:val="22"/>
          <w:szCs w:val="22"/>
          <w:u w:val="single"/>
        </w:rPr>
        <w:t>Brown v. Milwaukee Terminal Rwy. Co.</w:t>
      </w:r>
      <w:r w:rsidRPr="00C821A7">
        <w:rPr>
          <w:rFonts w:eastAsia="PMingLiU"/>
          <w:sz w:val="22"/>
          <w:szCs w:val="22"/>
        </w:rPr>
        <w:t xml:space="preserve">, 199 </w:t>
      </w:r>
      <w:proofErr w:type="spellStart"/>
      <w:r w:rsidRPr="00C821A7">
        <w:rPr>
          <w:rFonts w:eastAsia="PMingLiU"/>
          <w:sz w:val="22"/>
          <w:szCs w:val="22"/>
        </w:rPr>
        <w:t>Wis</w:t>
      </w:r>
      <w:proofErr w:type="spellEnd"/>
      <w:r w:rsidRPr="00C821A7">
        <w:rPr>
          <w:rFonts w:eastAsia="PMingLiU"/>
          <w:sz w:val="22"/>
          <w:szCs w:val="22"/>
        </w:rPr>
        <w:t xml:space="preserve"> 575, 589 (1929).</w:t>
      </w:r>
    </w:p>
    <w:p w:rsidR="0065277D" w:rsidRPr="00C821A7" w:rsidRDefault="0065277D" w:rsidP="0065277D">
      <w:pPr>
        <w:pStyle w:val="ListParagraph"/>
        <w:tabs>
          <w:tab w:val="left" w:pos="900"/>
        </w:tabs>
        <w:ind w:left="0" w:firstLine="450"/>
        <w:jc w:val="both"/>
        <w:rPr>
          <w:rFonts w:eastAsia="PMingLiU"/>
          <w:sz w:val="22"/>
          <w:szCs w:val="22"/>
        </w:rPr>
      </w:pPr>
    </w:p>
    <w:p w:rsidR="00C065EF" w:rsidRPr="00C821A7" w:rsidRDefault="0065277D" w:rsidP="0065277D">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 xml:space="preserve"> </w:t>
      </w:r>
      <w:r w:rsidR="00C065EF" w:rsidRPr="00C821A7">
        <w:rPr>
          <w:rFonts w:eastAsia="PMingLiU"/>
          <w:sz w:val="22"/>
          <w:szCs w:val="22"/>
        </w:rPr>
        <w:t>Restatement (Second) of Torts § 822, Comment a (1979).</w:t>
      </w:r>
    </w:p>
    <w:p w:rsidR="0065277D" w:rsidRPr="00C821A7" w:rsidRDefault="0065277D" w:rsidP="0065277D">
      <w:pPr>
        <w:tabs>
          <w:tab w:val="left" w:pos="900"/>
        </w:tabs>
        <w:jc w:val="both"/>
        <w:rPr>
          <w:rFonts w:eastAsia="PMingLiU"/>
          <w:sz w:val="22"/>
          <w:szCs w:val="22"/>
        </w:rPr>
      </w:pPr>
    </w:p>
    <w:p w:rsidR="0065277D" w:rsidRPr="00C821A7" w:rsidRDefault="0065277D" w:rsidP="0065277D">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 xml:space="preserve"> </w:t>
      </w:r>
      <w:r w:rsidR="00C065EF" w:rsidRPr="00C821A7">
        <w:rPr>
          <w:rFonts w:eastAsia="PMingLiU"/>
          <w:sz w:val="22"/>
          <w:szCs w:val="22"/>
          <w:u w:val="single"/>
        </w:rPr>
        <w:t>Brown v. Milwaukee Terminal Rwy. Co.</w:t>
      </w:r>
      <w:r w:rsidR="00C065EF" w:rsidRPr="00C821A7">
        <w:rPr>
          <w:rFonts w:eastAsia="PMingLiU"/>
          <w:sz w:val="22"/>
          <w:szCs w:val="22"/>
        </w:rPr>
        <w:t xml:space="preserve">, 199 </w:t>
      </w:r>
      <w:proofErr w:type="spellStart"/>
      <w:r w:rsidR="00C065EF" w:rsidRPr="00C821A7">
        <w:rPr>
          <w:rFonts w:eastAsia="PMingLiU"/>
          <w:sz w:val="22"/>
          <w:szCs w:val="22"/>
        </w:rPr>
        <w:t>Wis</w:t>
      </w:r>
      <w:proofErr w:type="spellEnd"/>
      <w:r w:rsidR="00C065EF" w:rsidRPr="00C821A7">
        <w:rPr>
          <w:rFonts w:eastAsia="PMingLiU"/>
          <w:sz w:val="22"/>
          <w:szCs w:val="22"/>
        </w:rPr>
        <w:t xml:space="preserve"> 575, 589 (1929).</w:t>
      </w:r>
    </w:p>
    <w:p w:rsidR="0065277D" w:rsidRPr="00C821A7" w:rsidRDefault="0065277D" w:rsidP="0065277D">
      <w:pPr>
        <w:pStyle w:val="ListParagraph"/>
        <w:rPr>
          <w:rFonts w:eastAsia="PMingLiU"/>
          <w:sz w:val="22"/>
          <w:szCs w:val="22"/>
        </w:rPr>
      </w:pPr>
    </w:p>
    <w:p w:rsidR="0065277D" w:rsidRPr="00C821A7" w:rsidRDefault="0065277D" w:rsidP="0065277D">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Sunnyside Feed Co., Inc. v. City of Portage</w:t>
      </w:r>
      <w:r w:rsidRPr="00C821A7">
        <w:rPr>
          <w:rFonts w:eastAsia="PMingLiU"/>
          <w:sz w:val="22"/>
          <w:szCs w:val="22"/>
        </w:rPr>
        <w:t>, 222 Wis. 2d 461, 467, 588 N.W.2d 278 (Ct. App. 1998).</w:t>
      </w:r>
    </w:p>
    <w:p w:rsidR="0065277D" w:rsidRPr="00C821A7" w:rsidRDefault="0065277D" w:rsidP="0065277D">
      <w:pPr>
        <w:pStyle w:val="ListParagraph"/>
        <w:rPr>
          <w:rFonts w:eastAsia="PMingLiU"/>
          <w:sz w:val="22"/>
          <w:szCs w:val="22"/>
        </w:rPr>
      </w:pPr>
    </w:p>
    <w:p w:rsidR="003110B9" w:rsidRPr="00C821A7" w:rsidRDefault="00BC040D" w:rsidP="003110B9">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Sunnyside</w:t>
      </w:r>
      <w:r w:rsidRPr="00C821A7">
        <w:rPr>
          <w:rFonts w:eastAsia="PMingLiU"/>
          <w:sz w:val="22"/>
          <w:szCs w:val="22"/>
        </w:rPr>
        <w:t xml:space="preserve">, </w:t>
      </w:r>
      <w:r w:rsidR="0065277D" w:rsidRPr="00C821A7">
        <w:rPr>
          <w:rFonts w:eastAsia="PMingLiU"/>
          <w:sz w:val="22"/>
          <w:szCs w:val="22"/>
          <w:u w:val="single"/>
        </w:rPr>
        <w:t>supra</w:t>
      </w:r>
      <w:r w:rsidR="005F284B" w:rsidRPr="00C821A7">
        <w:rPr>
          <w:rFonts w:eastAsia="PMingLiU"/>
          <w:sz w:val="22"/>
          <w:szCs w:val="22"/>
        </w:rPr>
        <w:t>,</w:t>
      </w:r>
      <w:r w:rsidR="0065277D" w:rsidRPr="00C821A7">
        <w:rPr>
          <w:rFonts w:eastAsia="PMingLiU"/>
          <w:sz w:val="22"/>
          <w:szCs w:val="22"/>
        </w:rPr>
        <w:t xml:space="preserve"> at</w:t>
      </w:r>
      <w:r w:rsidR="003110B9" w:rsidRPr="00C821A7">
        <w:rPr>
          <w:rFonts w:eastAsia="PMingLiU"/>
          <w:sz w:val="22"/>
          <w:szCs w:val="22"/>
        </w:rPr>
        <w:t xml:space="preserve"> 469,</w:t>
      </w:r>
      <w:r w:rsidR="0065277D" w:rsidRPr="00C821A7">
        <w:rPr>
          <w:rFonts w:eastAsia="PMingLiU"/>
          <w:sz w:val="22"/>
          <w:szCs w:val="22"/>
        </w:rPr>
        <w:t xml:space="preserve"> citing </w:t>
      </w:r>
      <w:r w:rsidR="0065277D" w:rsidRPr="00C821A7">
        <w:rPr>
          <w:rFonts w:eastAsia="PMingLiU"/>
          <w:sz w:val="22"/>
          <w:szCs w:val="22"/>
          <w:u w:val="single"/>
        </w:rPr>
        <w:t>Baker v. Burbank-Glendale-Pasadena Airport Authority</w:t>
      </w:r>
      <w:r w:rsidR="0065277D" w:rsidRPr="00C821A7">
        <w:rPr>
          <w:rFonts w:eastAsia="PMingLiU"/>
          <w:sz w:val="22"/>
          <w:szCs w:val="22"/>
        </w:rPr>
        <w:t xml:space="preserve">, 39 Cal.3d 862, 868, 218 </w:t>
      </w:r>
      <w:proofErr w:type="spellStart"/>
      <w:r w:rsidR="0065277D" w:rsidRPr="00C821A7">
        <w:rPr>
          <w:rFonts w:eastAsia="PMingLiU"/>
          <w:sz w:val="22"/>
          <w:szCs w:val="22"/>
        </w:rPr>
        <w:t>Cal.Rptr</w:t>
      </w:r>
      <w:proofErr w:type="spellEnd"/>
      <w:r w:rsidR="0065277D" w:rsidRPr="00C821A7">
        <w:rPr>
          <w:rFonts w:eastAsia="PMingLiU"/>
          <w:sz w:val="22"/>
          <w:szCs w:val="22"/>
        </w:rPr>
        <w:t>. 293, 705 P.2d 866, 870 (1985).</w:t>
      </w:r>
    </w:p>
    <w:p w:rsidR="003110B9" w:rsidRPr="00C821A7" w:rsidRDefault="003110B9" w:rsidP="003110B9">
      <w:pPr>
        <w:pStyle w:val="ListParagraph"/>
        <w:rPr>
          <w:rFonts w:eastAsia="PMingLiU"/>
          <w:sz w:val="22"/>
          <w:szCs w:val="22"/>
        </w:rPr>
      </w:pPr>
    </w:p>
    <w:p w:rsidR="0065277D" w:rsidRPr="00C821A7" w:rsidRDefault="00BC040D" w:rsidP="003110B9">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Baker</w:t>
      </w:r>
      <w:r w:rsidRPr="00C821A7">
        <w:rPr>
          <w:rFonts w:eastAsia="PMingLiU"/>
          <w:sz w:val="22"/>
          <w:szCs w:val="22"/>
        </w:rPr>
        <w:t xml:space="preserve">, </w:t>
      </w:r>
      <w:r w:rsidRPr="00C821A7">
        <w:rPr>
          <w:rFonts w:eastAsia="PMingLiU"/>
          <w:sz w:val="22"/>
          <w:szCs w:val="22"/>
          <w:u w:val="single"/>
        </w:rPr>
        <w:t>supra</w:t>
      </w:r>
      <w:r w:rsidR="005F284B" w:rsidRPr="00C821A7">
        <w:rPr>
          <w:rFonts w:eastAsia="PMingLiU"/>
          <w:sz w:val="22"/>
          <w:szCs w:val="22"/>
        </w:rPr>
        <w:t>,</w:t>
      </w:r>
      <w:r w:rsidRPr="00C821A7">
        <w:rPr>
          <w:rFonts w:eastAsia="PMingLiU"/>
          <w:sz w:val="22"/>
          <w:szCs w:val="22"/>
        </w:rPr>
        <w:t xml:space="preserve"> at 870</w:t>
      </w:r>
      <w:r w:rsidR="0065277D" w:rsidRPr="00C821A7">
        <w:rPr>
          <w:rFonts w:eastAsia="PMingLiU"/>
          <w:sz w:val="22"/>
          <w:szCs w:val="22"/>
        </w:rPr>
        <w:t>.</w:t>
      </w:r>
    </w:p>
    <w:p w:rsidR="003110B9" w:rsidRPr="00C821A7" w:rsidRDefault="003110B9" w:rsidP="003110B9">
      <w:pPr>
        <w:tabs>
          <w:tab w:val="left" w:pos="900"/>
        </w:tabs>
        <w:jc w:val="both"/>
        <w:rPr>
          <w:rFonts w:eastAsia="PMingLiU"/>
          <w:sz w:val="22"/>
          <w:szCs w:val="22"/>
        </w:rPr>
      </w:pPr>
    </w:p>
    <w:p w:rsidR="003110B9" w:rsidRPr="00C821A7" w:rsidRDefault="003110B9" w:rsidP="003110B9">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Id</w:t>
      </w:r>
      <w:r w:rsidRPr="00C821A7">
        <w:rPr>
          <w:rFonts w:eastAsia="PMingLiU"/>
          <w:sz w:val="22"/>
          <w:szCs w:val="22"/>
        </w:rPr>
        <w:t xml:space="preserve">. as 870. </w:t>
      </w:r>
    </w:p>
    <w:p w:rsidR="003110B9" w:rsidRPr="00C821A7" w:rsidRDefault="003110B9" w:rsidP="003110B9">
      <w:pPr>
        <w:pStyle w:val="ListParagraph"/>
        <w:rPr>
          <w:rFonts w:eastAsia="PMingLiU"/>
          <w:sz w:val="22"/>
          <w:szCs w:val="22"/>
        </w:rPr>
      </w:pPr>
    </w:p>
    <w:p w:rsidR="003110B9" w:rsidRPr="00C821A7" w:rsidRDefault="0065277D" w:rsidP="003110B9">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Sunnyside</w:t>
      </w:r>
      <w:r w:rsidRPr="00C821A7">
        <w:rPr>
          <w:rFonts w:eastAsia="PMingLiU"/>
          <w:sz w:val="22"/>
          <w:szCs w:val="22"/>
        </w:rPr>
        <w:t xml:space="preserve">, </w:t>
      </w:r>
      <w:r w:rsidR="003110B9" w:rsidRPr="00C821A7">
        <w:rPr>
          <w:rFonts w:eastAsia="PMingLiU"/>
          <w:sz w:val="22"/>
          <w:szCs w:val="22"/>
          <w:u w:val="single"/>
        </w:rPr>
        <w:t>supra</w:t>
      </w:r>
      <w:r w:rsidR="005F284B" w:rsidRPr="00C821A7">
        <w:rPr>
          <w:rFonts w:eastAsia="PMingLiU"/>
          <w:sz w:val="22"/>
          <w:szCs w:val="22"/>
        </w:rPr>
        <w:t>,</w:t>
      </w:r>
      <w:r w:rsidR="003110B9" w:rsidRPr="00C821A7">
        <w:rPr>
          <w:rFonts w:eastAsia="PMingLiU"/>
          <w:sz w:val="22"/>
          <w:szCs w:val="22"/>
        </w:rPr>
        <w:t xml:space="preserve"> at </w:t>
      </w:r>
      <w:r w:rsidRPr="00C821A7">
        <w:rPr>
          <w:rFonts w:eastAsia="PMingLiU"/>
          <w:sz w:val="22"/>
          <w:szCs w:val="22"/>
        </w:rPr>
        <w:t>469.</w:t>
      </w:r>
    </w:p>
    <w:p w:rsidR="003110B9" w:rsidRPr="00C821A7" w:rsidRDefault="003110B9" w:rsidP="003110B9">
      <w:pPr>
        <w:pStyle w:val="ListParagraph"/>
        <w:rPr>
          <w:rFonts w:eastAsia="PMingLiU"/>
          <w:sz w:val="22"/>
          <w:szCs w:val="22"/>
        </w:rPr>
      </w:pPr>
    </w:p>
    <w:p w:rsidR="007F3828" w:rsidRPr="00C821A7" w:rsidRDefault="0065277D" w:rsidP="007F3828">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Sunnyside,</w:t>
      </w:r>
      <w:r w:rsidRPr="00C821A7">
        <w:rPr>
          <w:rFonts w:eastAsia="PMingLiU"/>
          <w:sz w:val="22"/>
          <w:szCs w:val="22"/>
        </w:rPr>
        <w:t xml:space="preserve"> </w:t>
      </w:r>
      <w:r w:rsidR="007F3828" w:rsidRPr="00C821A7">
        <w:rPr>
          <w:rFonts w:eastAsia="PMingLiU"/>
          <w:sz w:val="22"/>
          <w:szCs w:val="22"/>
          <w:u w:val="single"/>
        </w:rPr>
        <w:t>supra</w:t>
      </w:r>
      <w:r w:rsidR="005F284B" w:rsidRPr="00C821A7">
        <w:rPr>
          <w:rFonts w:eastAsia="PMingLiU"/>
          <w:sz w:val="22"/>
          <w:szCs w:val="22"/>
        </w:rPr>
        <w:t>,</w:t>
      </w:r>
      <w:r w:rsidR="007F3828" w:rsidRPr="00C821A7">
        <w:rPr>
          <w:rFonts w:eastAsia="PMingLiU"/>
          <w:sz w:val="22"/>
          <w:szCs w:val="22"/>
        </w:rPr>
        <w:t xml:space="preserve"> 470. S</w:t>
      </w:r>
      <w:r w:rsidRPr="00C821A7">
        <w:rPr>
          <w:rFonts w:eastAsia="PMingLiU"/>
          <w:sz w:val="22"/>
          <w:szCs w:val="22"/>
        </w:rPr>
        <w:t xml:space="preserve">ee also </w:t>
      </w:r>
      <w:proofErr w:type="spellStart"/>
      <w:r w:rsidRPr="00C821A7">
        <w:rPr>
          <w:rFonts w:eastAsia="PMingLiU"/>
          <w:sz w:val="22"/>
          <w:szCs w:val="22"/>
          <w:u w:val="single"/>
        </w:rPr>
        <w:t>Munger</w:t>
      </w:r>
      <w:proofErr w:type="spellEnd"/>
      <w:r w:rsidRPr="00C821A7">
        <w:rPr>
          <w:rFonts w:eastAsia="PMingLiU"/>
          <w:sz w:val="22"/>
          <w:szCs w:val="22"/>
          <w:u w:val="single"/>
        </w:rPr>
        <w:t xml:space="preserve"> v. </w:t>
      </w:r>
      <w:proofErr w:type="spellStart"/>
      <w:r w:rsidRPr="00C821A7">
        <w:rPr>
          <w:rFonts w:eastAsia="PMingLiU"/>
          <w:sz w:val="22"/>
          <w:szCs w:val="22"/>
          <w:u w:val="single"/>
        </w:rPr>
        <w:t>Seehafer</w:t>
      </w:r>
      <w:proofErr w:type="spellEnd"/>
      <w:r w:rsidRPr="00C821A7">
        <w:rPr>
          <w:rFonts w:eastAsia="PMingLiU"/>
          <w:sz w:val="22"/>
          <w:szCs w:val="22"/>
        </w:rPr>
        <w:t>, 2016 WI App 89, ¶38, 372 Wis. 2d 749, 890 N.W.2d 22.</w:t>
      </w:r>
    </w:p>
    <w:p w:rsidR="007F3828" w:rsidRPr="00C821A7" w:rsidRDefault="007F3828" w:rsidP="004065E1">
      <w:pPr>
        <w:rPr>
          <w:rFonts w:eastAsia="PMingLiU"/>
          <w:sz w:val="22"/>
          <w:szCs w:val="22"/>
        </w:rPr>
      </w:pPr>
    </w:p>
    <w:p w:rsidR="0065277D" w:rsidRPr="00C821A7" w:rsidRDefault="0065277D" w:rsidP="007F3828">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u w:val="single"/>
        </w:rPr>
        <w:t>John Doe 1 v. Archdiocese of Milwaukee</w:t>
      </w:r>
      <w:r w:rsidRPr="00C821A7">
        <w:rPr>
          <w:rFonts w:eastAsia="PMingLiU"/>
          <w:sz w:val="22"/>
          <w:szCs w:val="22"/>
        </w:rPr>
        <w:t>, 2007 WI 95, ¶20, 303 Wis. 2d 34, 734 N.W.2d 827</w:t>
      </w:r>
      <w:r w:rsidR="00185C5C" w:rsidRPr="00C821A7">
        <w:rPr>
          <w:rFonts w:eastAsia="PMingLiU"/>
          <w:sz w:val="22"/>
          <w:szCs w:val="22"/>
        </w:rPr>
        <w:t>.</w:t>
      </w:r>
    </w:p>
    <w:p w:rsidR="00185C5C" w:rsidRPr="00C821A7" w:rsidRDefault="00185C5C" w:rsidP="00185C5C">
      <w:pPr>
        <w:pStyle w:val="ListParagraph"/>
        <w:rPr>
          <w:rFonts w:eastAsia="PMingLiU"/>
          <w:sz w:val="22"/>
          <w:szCs w:val="22"/>
        </w:rPr>
      </w:pPr>
    </w:p>
    <w:p w:rsidR="00185C5C" w:rsidRPr="00C821A7" w:rsidRDefault="00185C5C" w:rsidP="00185C5C">
      <w:pPr>
        <w:pStyle w:val="ListParagraph"/>
        <w:numPr>
          <w:ilvl w:val="0"/>
          <w:numId w:val="2"/>
        </w:numPr>
        <w:tabs>
          <w:tab w:val="left" w:pos="900"/>
        </w:tabs>
        <w:ind w:left="0" w:firstLine="450"/>
        <w:jc w:val="both"/>
        <w:rPr>
          <w:rFonts w:eastAsia="PMingLiU"/>
          <w:sz w:val="22"/>
          <w:szCs w:val="22"/>
        </w:rPr>
      </w:pPr>
      <w:r w:rsidRPr="00C821A7">
        <w:rPr>
          <w:rFonts w:eastAsia="PMingLiU"/>
          <w:sz w:val="22"/>
          <w:szCs w:val="22"/>
        </w:rPr>
        <w:t xml:space="preserve">See </w:t>
      </w:r>
      <w:r w:rsidRPr="00C821A7">
        <w:rPr>
          <w:rFonts w:eastAsia="PMingLiU"/>
          <w:sz w:val="22"/>
          <w:szCs w:val="22"/>
          <w:u w:val="single"/>
        </w:rPr>
        <w:t>Sunnyside</w:t>
      </w:r>
      <w:r w:rsidRPr="00C821A7">
        <w:rPr>
          <w:rFonts w:eastAsia="PMingLiU"/>
          <w:sz w:val="22"/>
          <w:szCs w:val="22"/>
        </w:rPr>
        <w:t xml:space="preserve">, </w:t>
      </w:r>
      <w:r w:rsidRPr="00C821A7">
        <w:rPr>
          <w:rFonts w:eastAsia="PMingLiU"/>
          <w:sz w:val="22"/>
          <w:szCs w:val="22"/>
          <w:u w:val="single"/>
        </w:rPr>
        <w:t>supra</w:t>
      </w:r>
      <w:r w:rsidR="005F284B" w:rsidRPr="00C821A7">
        <w:rPr>
          <w:rFonts w:eastAsia="PMingLiU"/>
          <w:sz w:val="22"/>
          <w:szCs w:val="22"/>
        </w:rPr>
        <w:t>,</w:t>
      </w:r>
      <w:r w:rsidR="00B11DCD" w:rsidRPr="00C821A7">
        <w:rPr>
          <w:rFonts w:eastAsia="PMingLiU"/>
          <w:sz w:val="22"/>
          <w:szCs w:val="22"/>
        </w:rPr>
        <w:t xml:space="preserve"> at 467</w:t>
      </w:r>
      <w:r w:rsidRPr="00C821A7">
        <w:rPr>
          <w:rFonts w:eastAsia="PMingLiU"/>
          <w:sz w:val="22"/>
          <w:szCs w:val="22"/>
        </w:rPr>
        <w:t xml:space="preserve">. See also </w:t>
      </w:r>
      <w:r w:rsidRPr="00C821A7">
        <w:rPr>
          <w:rFonts w:eastAsia="PMingLiU"/>
          <w:sz w:val="22"/>
          <w:szCs w:val="22"/>
          <w:u w:val="single"/>
        </w:rPr>
        <w:t>Andersen v. Village of Little Chute</w:t>
      </w:r>
      <w:r w:rsidRPr="00C821A7">
        <w:rPr>
          <w:rFonts w:eastAsia="PMingLiU"/>
          <w:sz w:val="22"/>
          <w:szCs w:val="22"/>
        </w:rPr>
        <w:t>, 201 Wis. 2d 467, 487, 549 N.W.2d 737 (Ct. App. 1996).</w:t>
      </w:r>
    </w:p>
    <w:p w:rsidR="006D4B8C" w:rsidRPr="00715B03" w:rsidRDefault="006D4B8C" w:rsidP="00C065EF">
      <w:pPr>
        <w:pStyle w:val="NoSpacing"/>
        <w:rPr>
          <w:rFonts w:ascii="Times New Roman" w:hAnsi="Times New Roman" w:cs="Times New Roman"/>
          <w:sz w:val="22"/>
          <w:szCs w:val="22"/>
        </w:rPr>
      </w:pPr>
    </w:p>
    <w:p w:rsidR="006D4B8C" w:rsidRPr="00C821A7" w:rsidRDefault="006D4B8C" w:rsidP="00C065EF">
      <w:pPr>
        <w:pStyle w:val="NoSpacing"/>
        <w:rPr>
          <w:rFonts w:ascii="Times New Roman" w:hAnsi="Times New Roman" w:cs="Times New Roman"/>
          <w:sz w:val="22"/>
          <w:szCs w:val="22"/>
        </w:rPr>
      </w:pPr>
      <w:r w:rsidRPr="00C821A7">
        <w:rPr>
          <w:rFonts w:ascii="Times New Roman" w:hAnsi="Times New Roman" w:cs="Times New Roman"/>
          <w:b/>
          <w:bCs/>
          <w:sz w:val="22"/>
          <w:szCs w:val="22"/>
        </w:rPr>
        <w:t>COMMENT</w:t>
      </w:r>
    </w:p>
    <w:p w:rsidR="006D4B8C" w:rsidRPr="00C821A7" w:rsidRDefault="006D4B8C" w:rsidP="00C065EF">
      <w:pPr>
        <w:pStyle w:val="NoSpacing"/>
        <w:jc w:val="both"/>
        <w:rPr>
          <w:rFonts w:ascii="Times New Roman" w:hAnsi="Times New Roman" w:cs="Times New Roman"/>
          <w:sz w:val="22"/>
          <w:szCs w:val="22"/>
        </w:rPr>
      </w:pPr>
    </w:p>
    <w:p w:rsidR="006D4B8C" w:rsidRPr="00C821A7" w:rsidRDefault="006D4B8C" w:rsidP="00C065EF">
      <w:pPr>
        <w:pStyle w:val="NoSpacing"/>
        <w:ind w:firstLine="450"/>
        <w:jc w:val="both"/>
        <w:rPr>
          <w:rFonts w:ascii="Times New Roman" w:hAnsi="Times New Roman" w:cs="Times New Roman"/>
          <w:sz w:val="22"/>
          <w:szCs w:val="22"/>
        </w:rPr>
      </w:pPr>
      <w:proofErr w:type="gramStart"/>
      <w:r w:rsidRPr="00C821A7">
        <w:rPr>
          <w:rFonts w:ascii="Times New Roman" w:hAnsi="Times New Roman" w:cs="Times New Roman"/>
          <w:sz w:val="22"/>
          <w:szCs w:val="22"/>
        </w:rPr>
        <w:t>This law note was approved by the committee</w:t>
      </w:r>
      <w:proofErr w:type="gramEnd"/>
      <w:r w:rsidRPr="00C821A7">
        <w:rPr>
          <w:rFonts w:ascii="Times New Roman" w:hAnsi="Times New Roman" w:cs="Times New Roman"/>
          <w:sz w:val="22"/>
          <w:szCs w:val="22"/>
        </w:rPr>
        <w:t xml:space="preserve"> in 2009. The comment </w:t>
      </w:r>
      <w:proofErr w:type="gramStart"/>
      <w:r w:rsidRPr="00C821A7">
        <w:rPr>
          <w:rFonts w:ascii="Times New Roman" w:hAnsi="Times New Roman" w:cs="Times New Roman"/>
          <w:sz w:val="22"/>
          <w:szCs w:val="22"/>
        </w:rPr>
        <w:t>was updated</w:t>
      </w:r>
      <w:proofErr w:type="gramEnd"/>
      <w:r w:rsidRPr="00C821A7">
        <w:rPr>
          <w:rFonts w:ascii="Times New Roman" w:hAnsi="Times New Roman" w:cs="Times New Roman"/>
          <w:sz w:val="22"/>
          <w:szCs w:val="22"/>
        </w:rPr>
        <w:t xml:space="preserve"> in 2019. </w:t>
      </w:r>
      <w:proofErr w:type="gramStart"/>
      <w:r w:rsidR="003613BC" w:rsidRPr="00C821A7">
        <w:rPr>
          <w:rFonts w:ascii="Times New Roman" w:hAnsi="Times New Roman" w:cs="Times New Roman"/>
          <w:sz w:val="22"/>
          <w:szCs w:val="22"/>
        </w:rPr>
        <w:t xml:space="preserve">This revision was </w:t>
      </w:r>
      <w:r w:rsidR="004D4B52" w:rsidRPr="00C821A7">
        <w:rPr>
          <w:rFonts w:ascii="Times New Roman" w:hAnsi="Times New Roman" w:cs="Times New Roman"/>
          <w:sz w:val="22"/>
          <w:szCs w:val="22"/>
        </w:rPr>
        <w:t>approved by the Committee</w:t>
      </w:r>
      <w:proofErr w:type="gramEnd"/>
      <w:r w:rsidR="004D4B52" w:rsidRPr="00C821A7">
        <w:rPr>
          <w:rFonts w:ascii="Times New Roman" w:hAnsi="Times New Roman" w:cs="Times New Roman"/>
          <w:sz w:val="22"/>
          <w:szCs w:val="22"/>
        </w:rPr>
        <w:t xml:space="preserve"> in </w:t>
      </w:r>
      <w:r w:rsidR="003613BC" w:rsidRPr="00C821A7">
        <w:rPr>
          <w:rFonts w:ascii="Times New Roman" w:hAnsi="Times New Roman" w:cs="Times New Roman"/>
          <w:sz w:val="22"/>
          <w:szCs w:val="22"/>
        </w:rPr>
        <w:t xml:space="preserve">September 2024. It </w:t>
      </w:r>
      <w:r w:rsidR="004D4B52" w:rsidRPr="00C821A7">
        <w:rPr>
          <w:rFonts w:ascii="Times New Roman" w:hAnsi="Times New Roman" w:cs="Times New Roman"/>
          <w:sz w:val="22"/>
          <w:szCs w:val="22"/>
        </w:rPr>
        <w:t>expanded on how to determine whether a nuisance is permanent or continuing and the impact such a designation has on the app</w:t>
      </w:r>
      <w:r w:rsidR="00AD2356" w:rsidRPr="00C821A7">
        <w:rPr>
          <w:rFonts w:ascii="Times New Roman" w:hAnsi="Times New Roman" w:cs="Times New Roman"/>
          <w:sz w:val="22"/>
          <w:szCs w:val="22"/>
        </w:rPr>
        <w:t>licable statute of limitations.</w:t>
      </w:r>
    </w:p>
    <w:p w:rsidR="00C065EF" w:rsidRPr="00C821A7" w:rsidRDefault="00C065EF" w:rsidP="00C065EF">
      <w:pPr>
        <w:pStyle w:val="NoSpacing"/>
        <w:jc w:val="both"/>
        <w:rPr>
          <w:rFonts w:ascii="Times New Roman" w:hAnsi="Times New Roman" w:cs="Times New Roman"/>
          <w:sz w:val="22"/>
          <w:szCs w:val="22"/>
        </w:rPr>
      </w:pPr>
    </w:p>
    <w:p w:rsidR="00622349" w:rsidRPr="00C821A7" w:rsidRDefault="00C065EF" w:rsidP="00090E26">
      <w:pPr>
        <w:pStyle w:val="NoSpacing"/>
        <w:ind w:firstLine="450"/>
        <w:jc w:val="both"/>
        <w:rPr>
          <w:rFonts w:ascii="Times New Roman" w:hAnsi="Times New Roman" w:cs="Times New Roman"/>
          <w:sz w:val="22"/>
          <w:szCs w:val="22"/>
        </w:rPr>
      </w:pPr>
      <w:r w:rsidRPr="00C821A7">
        <w:rPr>
          <w:rFonts w:ascii="Times New Roman" w:hAnsi="Times New Roman" w:cs="Times New Roman"/>
          <w:b/>
          <w:sz w:val="22"/>
          <w:szCs w:val="22"/>
        </w:rPr>
        <w:t xml:space="preserve">Filing a Written Notice of Injury. </w:t>
      </w:r>
      <w:r w:rsidRPr="00C821A7">
        <w:rPr>
          <w:rFonts w:ascii="Times New Roman" w:hAnsi="Times New Roman" w:cs="Times New Roman"/>
          <w:sz w:val="22"/>
          <w:szCs w:val="22"/>
        </w:rPr>
        <w:t xml:space="preserve">Each alleged nuisance causing action constitutes a separate “event” for the purposes of filing a written notice of injury. See </w:t>
      </w:r>
      <w:r w:rsidRPr="00C821A7">
        <w:rPr>
          <w:rFonts w:ascii="Times New Roman" w:eastAsia="Calibri" w:hAnsi="Times New Roman" w:cs="Times New Roman"/>
          <w:sz w:val="22"/>
          <w:szCs w:val="22"/>
          <w:u w:val="single"/>
        </w:rPr>
        <w:t xml:space="preserve">The Yacht Club at Sister Bay Condominium </w:t>
      </w:r>
      <w:proofErr w:type="spellStart"/>
      <w:r w:rsidRPr="00C821A7">
        <w:rPr>
          <w:rFonts w:ascii="Times New Roman" w:eastAsia="Calibri" w:hAnsi="Times New Roman" w:cs="Times New Roman"/>
          <w:sz w:val="22"/>
          <w:szCs w:val="22"/>
          <w:u w:val="single"/>
        </w:rPr>
        <w:t>Ass’n</w:t>
      </w:r>
      <w:proofErr w:type="spellEnd"/>
      <w:r w:rsidRPr="00C821A7">
        <w:rPr>
          <w:rFonts w:ascii="Times New Roman" w:eastAsia="Calibri" w:hAnsi="Times New Roman" w:cs="Times New Roman"/>
          <w:sz w:val="22"/>
          <w:szCs w:val="22"/>
          <w:u w:val="single"/>
        </w:rPr>
        <w:t>, Inc. v. Village of Sister Bay</w:t>
      </w:r>
      <w:r w:rsidRPr="00C821A7">
        <w:rPr>
          <w:rFonts w:ascii="Times New Roman" w:eastAsia="Calibri" w:hAnsi="Times New Roman" w:cs="Times New Roman"/>
          <w:sz w:val="22"/>
          <w:szCs w:val="22"/>
        </w:rPr>
        <w:t>, 2019 WI 4, 922 N.W.2d 95, 101 (2019), reversing in part and remanding 378 Wis.2d 742, 905 N.W.2d 844 (Ct. App. 2017).</w:t>
      </w:r>
      <w:r w:rsidRPr="00C821A7">
        <w:rPr>
          <w:rFonts w:ascii="Times New Roman" w:hAnsi="Times New Roman" w:cs="Times New Roman"/>
          <w:sz w:val="22"/>
          <w:szCs w:val="22"/>
        </w:rPr>
        <w:t xml:space="preserve"> Future nuisance actions </w:t>
      </w:r>
      <w:proofErr w:type="gramStart"/>
      <w:r w:rsidRPr="00C821A7">
        <w:rPr>
          <w:rFonts w:ascii="Times New Roman" w:hAnsi="Times New Roman" w:cs="Times New Roman"/>
          <w:sz w:val="22"/>
          <w:szCs w:val="22"/>
        </w:rPr>
        <w:t>are not barred</w:t>
      </w:r>
      <w:proofErr w:type="gramEnd"/>
      <w:r w:rsidRPr="00C821A7">
        <w:rPr>
          <w:rFonts w:ascii="Times New Roman" w:hAnsi="Times New Roman" w:cs="Times New Roman"/>
          <w:sz w:val="22"/>
          <w:szCs w:val="22"/>
        </w:rPr>
        <w:t xml:space="preserve"> if the written notice of injury pertaining to the new “event” giving rise to the claim is filed within 120 days after the happening of the event. Wis. Stat. § 893.80 (1d</w:t>
      </w:r>
      <w:proofErr w:type="gramStart"/>
      <w:r w:rsidRPr="00C821A7">
        <w:rPr>
          <w:rFonts w:ascii="Times New Roman" w:hAnsi="Times New Roman" w:cs="Times New Roman"/>
          <w:sz w:val="22"/>
          <w:szCs w:val="22"/>
        </w:rPr>
        <w:t>)(</w:t>
      </w:r>
      <w:proofErr w:type="gramEnd"/>
      <w:r w:rsidRPr="00C821A7">
        <w:rPr>
          <w:rFonts w:ascii="Times New Roman" w:hAnsi="Times New Roman" w:cs="Times New Roman"/>
          <w:sz w:val="22"/>
          <w:szCs w:val="22"/>
        </w:rPr>
        <w:t xml:space="preserve">a). </w:t>
      </w:r>
    </w:p>
    <w:p w:rsidR="00C065EF" w:rsidRPr="00C821A7" w:rsidRDefault="00C065EF" w:rsidP="00C065EF">
      <w:pPr>
        <w:pStyle w:val="NoSpacing"/>
        <w:jc w:val="both"/>
        <w:rPr>
          <w:rFonts w:ascii="Times New Roman" w:hAnsi="Times New Roman" w:cs="Times New Roman"/>
          <w:sz w:val="22"/>
          <w:szCs w:val="22"/>
        </w:rPr>
      </w:pPr>
    </w:p>
    <w:p w:rsidR="00C065EF" w:rsidRPr="00C821A7" w:rsidRDefault="00C065EF" w:rsidP="00090E26">
      <w:pPr>
        <w:ind w:firstLine="450"/>
        <w:jc w:val="both"/>
        <w:rPr>
          <w:rFonts w:ascii="Times New Roman" w:eastAsia="Calibri" w:hAnsi="Times New Roman" w:cs="Times New Roman"/>
          <w:sz w:val="22"/>
          <w:szCs w:val="22"/>
        </w:rPr>
      </w:pPr>
      <w:r w:rsidRPr="00C821A7">
        <w:rPr>
          <w:rFonts w:ascii="Times New Roman" w:hAnsi="Times New Roman" w:cs="Times New Roman"/>
          <w:b/>
          <w:sz w:val="22"/>
          <w:szCs w:val="22"/>
        </w:rPr>
        <w:t xml:space="preserve">Anticipated Nuisance Claim. </w:t>
      </w:r>
      <w:r w:rsidRPr="00C821A7">
        <w:rPr>
          <w:rFonts w:ascii="Times New Roman" w:hAnsi="Times New Roman" w:cs="Times New Roman"/>
          <w:sz w:val="22"/>
          <w:szCs w:val="22"/>
        </w:rPr>
        <w:t>Under Wisconsin case law, “anticipated private nuisance” claims are recognized claims.</w:t>
      </w:r>
      <w:r w:rsidRPr="00C821A7">
        <w:rPr>
          <w:rFonts w:ascii="Times New Roman" w:eastAsia="Calibri" w:hAnsi="Times New Roman" w:cs="Times New Roman"/>
          <w:sz w:val="22"/>
          <w:szCs w:val="22"/>
        </w:rPr>
        <w:t xml:space="preserve"> </w:t>
      </w:r>
      <w:r w:rsidRPr="00C821A7">
        <w:rPr>
          <w:rFonts w:ascii="Times New Roman" w:eastAsia="Calibri" w:hAnsi="Times New Roman" w:cs="Times New Roman"/>
          <w:sz w:val="22"/>
          <w:szCs w:val="22"/>
          <w:u w:val="single"/>
        </w:rPr>
        <w:t xml:space="preserve">Krueger v. </w:t>
      </w:r>
      <w:proofErr w:type="spellStart"/>
      <w:r w:rsidRPr="00C821A7">
        <w:rPr>
          <w:rFonts w:ascii="Times New Roman" w:eastAsia="Calibri" w:hAnsi="Times New Roman" w:cs="Times New Roman"/>
          <w:sz w:val="22"/>
          <w:szCs w:val="22"/>
          <w:u w:val="single"/>
        </w:rPr>
        <w:t>AllEnergy</w:t>
      </w:r>
      <w:proofErr w:type="spellEnd"/>
      <w:r w:rsidRPr="00C821A7">
        <w:rPr>
          <w:rFonts w:ascii="Times New Roman" w:eastAsia="Calibri" w:hAnsi="Times New Roman" w:cs="Times New Roman"/>
          <w:sz w:val="22"/>
          <w:szCs w:val="22"/>
          <w:u w:val="single"/>
        </w:rPr>
        <w:t xml:space="preserve"> </w:t>
      </w:r>
      <w:proofErr w:type="spellStart"/>
      <w:r w:rsidRPr="00C821A7">
        <w:rPr>
          <w:rFonts w:ascii="Times New Roman" w:eastAsia="Calibri" w:hAnsi="Times New Roman" w:cs="Times New Roman"/>
          <w:sz w:val="22"/>
          <w:szCs w:val="22"/>
          <w:u w:val="single"/>
        </w:rPr>
        <w:t>Hixton</w:t>
      </w:r>
      <w:proofErr w:type="spellEnd"/>
      <w:r w:rsidRPr="00C821A7">
        <w:rPr>
          <w:rFonts w:ascii="Times New Roman" w:eastAsia="Calibri" w:hAnsi="Times New Roman" w:cs="Times New Roman"/>
          <w:sz w:val="22"/>
          <w:szCs w:val="22"/>
          <w:u w:val="single"/>
        </w:rPr>
        <w:t xml:space="preserve">, </w:t>
      </w:r>
      <w:proofErr w:type="gramStart"/>
      <w:r w:rsidRPr="00C821A7">
        <w:rPr>
          <w:rFonts w:ascii="Times New Roman" w:eastAsia="Calibri" w:hAnsi="Times New Roman" w:cs="Times New Roman"/>
          <w:sz w:val="22"/>
          <w:szCs w:val="22"/>
          <w:u w:val="single"/>
        </w:rPr>
        <w:t>LLC.</w:t>
      </w:r>
      <w:r w:rsidRPr="00C821A7">
        <w:rPr>
          <w:rFonts w:ascii="Times New Roman" w:eastAsia="Calibri" w:hAnsi="Times New Roman" w:cs="Times New Roman"/>
          <w:sz w:val="22"/>
          <w:szCs w:val="22"/>
        </w:rPr>
        <w:t>,</w:t>
      </w:r>
      <w:proofErr w:type="gramEnd"/>
      <w:r w:rsidRPr="00C821A7">
        <w:rPr>
          <w:rFonts w:ascii="Times New Roman" w:eastAsia="Calibri" w:hAnsi="Times New Roman" w:cs="Times New Roman"/>
          <w:sz w:val="22"/>
          <w:szCs w:val="22"/>
        </w:rPr>
        <w:t xml:space="preserve"> 384 Wis.2d 127, 132,  918 N.W. 2d 458 (2018). Such an action may be brought when the alleged anticipated nuisance “will necessarily result from the contemplated act or thing which it is [s]ought to enjoin.”  </w:t>
      </w:r>
      <w:r w:rsidRPr="00C821A7">
        <w:rPr>
          <w:rFonts w:ascii="Times New Roman" w:hAnsi="Times New Roman" w:cs="Times New Roman"/>
          <w:sz w:val="22"/>
          <w:szCs w:val="22"/>
        </w:rPr>
        <w:t xml:space="preserve">See </w:t>
      </w:r>
      <w:proofErr w:type="spellStart"/>
      <w:r w:rsidRPr="00C821A7">
        <w:rPr>
          <w:rFonts w:ascii="Times New Roman" w:hAnsi="Times New Roman" w:cs="Times New Roman"/>
          <w:sz w:val="22"/>
          <w:szCs w:val="22"/>
          <w:u w:val="single"/>
        </w:rPr>
        <w:t>Wergin</w:t>
      </w:r>
      <w:proofErr w:type="spellEnd"/>
      <w:r w:rsidRPr="00C821A7">
        <w:rPr>
          <w:rFonts w:ascii="Times New Roman" w:hAnsi="Times New Roman" w:cs="Times New Roman"/>
          <w:sz w:val="22"/>
          <w:szCs w:val="22"/>
          <w:u w:val="single"/>
        </w:rPr>
        <w:t xml:space="preserve"> v. Voss</w:t>
      </w:r>
      <w:r w:rsidRPr="00C821A7">
        <w:rPr>
          <w:rFonts w:ascii="Times New Roman" w:hAnsi="Times New Roman" w:cs="Times New Roman"/>
          <w:sz w:val="22"/>
          <w:szCs w:val="22"/>
        </w:rPr>
        <w:t xml:space="preserve">, 179 </w:t>
      </w:r>
      <w:proofErr w:type="spellStart"/>
      <w:r w:rsidRPr="00C821A7">
        <w:rPr>
          <w:rFonts w:ascii="Times New Roman" w:hAnsi="Times New Roman" w:cs="Times New Roman"/>
          <w:sz w:val="22"/>
          <w:szCs w:val="22"/>
        </w:rPr>
        <w:t>Wis</w:t>
      </w:r>
      <w:proofErr w:type="spellEnd"/>
      <w:r w:rsidRPr="00C821A7">
        <w:rPr>
          <w:rFonts w:ascii="Times New Roman" w:hAnsi="Times New Roman" w:cs="Times New Roman"/>
          <w:sz w:val="22"/>
          <w:szCs w:val="22"/>
        </w:rPr>
        <w:t xml:space="preserve"> 603, 606, 192 N.W. 51 (1923).</w:t>
      </w:r>
      <w:r w:rsidRPr="00C821A7">
        <w:rPr>
          <w:rFonts w:ascii="Times New Roman" w:eastAsia="Calibri" w:hAnsi="Times New Roman" w:cs="Times New Roman"/>
          <w:sz w:val="22"/>
          <w:szCs w:val="22"/>
        </w:rPr>
        <w:t xml:space="preserve"> A claim for anticipated nuisance must include factual allegations that, if true, would support each of the following conclusions:</w:t>
      </w:r>
    </w:p>
    <w:p w:rsidR="00C065EF" w:rsidRPr="00C821A7" w:rsidRDefault="00C065EF" w:rsidP="00C065EF">
      <w:pPr>
        <w:jc w:val="both"/>
        <w:rPr>
          <w:rFonts w:ascii="Times New Roman" w:eastAsia="Calibri" w:hAnsi="Times New Roman" w:cs="Times New Roman"/>
          <w:sz w:val="22"/>
          <w:szCs w:val="22"/>
        </w:rPr>
      </w:pPr>
    </w:p>
    <w:p w:rsidR="00C065EF" w:rsidRPr="00C821A7" w:rsidRDefault="00C065EF" w:rsidP="002E18B2">
      <w:pPr>
        <w:pStyle w:val="ListParagraph"/>
        <w:widowControl/>
        <w:numPr>
          <w:ilvl w:val="0"/>
          <w:numId w:val="3"/>
        </w:numPr>
        <w:autoSpaceDE/>
        <w:autoSpaceDN/>
        <w:adjustRightInd/>
        <w:spacing w:after="160" w:line="259" w:lineRule="auto"/>
        <w:ind w:right="450"/>
        <w:jc w:val="both"/>
        <w:rPr>
          <w:rFonts w:ascii="Times New Roman" w:eastAsia="Calibri" w:hAnsi="Times New Roman" w:cs="Times New Roman"/>
          <w:sz w:val="22"/>
          <w:szCs w:val="22"/>
        </w:rPr>
      </w:pPr>
      <w:r w:rsidRPr="00C821A7">
        <w:rPr>
          <w:rFonts w:ascii="Times New Roman" w:eastAsia="Calibri" w:hAnsi="Times New Roman" w:cs="Times New Roman"/>
          <w:sz w:val="22"/>
          <w:szCs w:val="22"/>
        </w:rPr>
        <w:t>the defendant’s proposed conduct will ‘necessarily’ or ‘certainly’ create a nuisance; and</w:t>
      </w:r>
    </w:p>
    <w:p w:rsidR="002E18B2" w:rsidRPr="00C821A7" w:rsidRDefault="002E18B2" w:rsidP="002E18B2">
      <w:pPr>
        <w:pStyle w:val="ListParagraph"/>
        <w:widowControl/>
        <w:autoSpaceDE/>
        <w:autoSpaceDN/>
        <w:adjustRightInd/>
        <w:spacing w:after="160" w:line="259" w:lineRule="auto"/>
        <w:ind w:left="1170" w:right="450"/>
        <w:jc w:val="both"/>
        <w:rPr>
          <w:rFonts w:ascii="Times New Roman" w:eastAsia="Calibri" w:hAnsi="Times New Roman" w:cs="Times New Roman"/>
          <w:sz w:val="22"/>
          <w:szCs w:val="22"/>
        </w:rPr>
      </w:pPr>
    </w:p>
    <w:p w:rsidR="00C065EF" w:rsidRPr="00C821A7" w:rsidRDefault="00C065EF" w:rsidP="00C065EF">
      <w:pPr>
        <w:pStyle w:val="ListParagraph"/>
        <w:widowControl/>
        <w:numPr>
          <w:ilvl w:val="0"/>
          <w:numId w:val="3"/>
        </w:numPr>
        <w:autoSpaceDE/>
        <w:autoSpaceDN/>
        <w:adjustRightInd/>
        <w:spacing w:after="160" w:line="259" w:lineRule="auto"/>
        <w:ind w:right="450"/>
        <w:jc w:val="both"/>
        <w:rPr>
          <w:rFonts w:ascii="Times New Roman" w:eastAsia="Calibri" w:hAnsi="Times New Roman" w:cs="Times New Roman"/>
          <w:sz w:val="22"/>
          <w:szCs w:val="22"/>
        </w:rPr>
      </w:pPr>
      <w:proofErr w:type="gramStart"/>
      <w:r w:rsidRPr="00C821A7">
        <w:rPr>
          <w:rFonts w:ascii="Times New Roman" w:eastAsia="Calibri" w:hAnsi="Times New Roman" w:cs="Times New Roman"/>
          <w:sz w:val="22"/>
          <w:szCs w:val="22"/>
        </w:rPr>
        <w:t>the</w:t>
      </w:r>
      <w:proofErr w:type="gramEnd"/>
      <w:r w:rsidRPr="00C821A7">
        <w:rPr>
          <w:rFonts w:ascii="Times New Roman" w:eastAsia="Calibri" w:hAnsi="Times New Roman" w:cs="Times New Roman"/>
          <w:sz w:val="22"/>
          <w:szCs w:val="22"/>
        </w:rPr>
        <w:t xml:space="preserve"> resulting nuisance will cause the claimant harm that is ‘inevitable and undoubted.’” See </w:t>
      </w:r>
      <w:proofErr w:type="spellStart"/>
      <w:r w:rsidRPr="00C821A7">
        <w:rPr>
          <w:rFonts w:ascii="Times New Roman" w:eastAsia="Calibri" w:hAnsi="Times New Roman" w:cs="Times New Roman"/>
          <w:sz w:val="22"/>
          <w:szCs w:val="22"/>
          <w:u w:val="single"/>
        </w:rPr>
        <w:t>Wergin</w:t>
      </w:r>
      <w:proofErr w:type="spellEnd"/>
      <w:r w:rsidR="005F284B" w:rsidRPr="00C821A7">
        <w:rPr>
          <w:rFonts w:ascii="Times New Roman" w:eastAsia="Calibri" w:hAnsi="Times New Roman" w:cs="Times New Roman"/>
          <w:sz w:val="22"/>
          <w:szCs w:val="22"/>
        </w:rPr>
        <w:t>, 179 Wis. a</w:t>
      </w:r>
      <w:r w:rsidRPr="00C821A7">
        <w:rPr>
          <w:rFonts w:ascii="Times New Roman" w:eastAsia="Calibri" w:hAnsi="Times New Roman" w:cs="Times New Roman"/>
          <w:sz w:val="22"/>
          <w:szCs w:val="22"/>
        </w:rPr>
        <w:t xml:space="preserve">t 606-07. </w:t>
      </w:r>
    </w:p>
    <w:p w:rsidR="009C33B3" w:rsidRPr="00C821A7" w:rsidRDefault="00C065EF" w:rsidP="009C33B3">
      <w:pPr>
        <w:jc w:val="both"/>
        <w:rPr>
          <w:rFonts w:ascii="Times New Roman" w:eastAsia="Calibri" w:hAnsi="Times New Roman" w:cs="Times New Roman"/>
          <w:sz w:val="22"/>
          <w:szCs w:val="22"/>
        </w:rPr>
      </w:pPr>
      <w:r w:rsidRPr="00C821A7">
        <w:rPr>
          <w:rFonts w:ascii="Times New Roman" w:eastAsia="Calibri" w:hAnsi="Times New Roman" w:cs="Times New Roman"/>
          <w:sz w:val="22"/>
          <w:szCs w:val="22"/>
        </w:rPr>
        <w:t xml:space="preserve">Although </w:t>
      </w:r>
      <w:r w:rsidRPr="00C821A7">
        <w:rPr>
          <w:rFonts w:ascii="Times New Roman" w:eastAsia="Calibri" w:hAnsi="Times New Roman" w:cs="Times New Roman"/>
          <w:sz w:val="22"/>
          <w:szCs w:val="22"/>
          <w:u w:val="single"/>
        </w:rPr>
        <w:t>Kruger</w:t>
      </w:r>
      <w:r w:rsidRPr="00C821A7">
        <w:rPr>
          <w:rFonts w:ascii="Times New Roman" w:eastAsia="Calibri" w:hAnsi="Times New Roman" w:cs="Times New Roman"/>
          <w:sz w:val="22"/>
          <w:szCs w:val="22"/>
        </w:rPr>
        <w:t xml:space="preserve"> focuses on an anticipated private nuisance claim, the most pertinent Wisconsin case also contemplates anticipated public nuisance claims.</w:t>
      </w:r>
      <w:r w:rsidRPr="00C821A7">
        <w:rPr>
          <w:rFonts w:ascii="Times New Roman" w:hAnsi="Times New Roman" w:cs="Times New Roman"/>
          <w:sz w:val="22"/>
          <w:szCs w:val="22"/>
        </w:rPr>
        <w:t xml:space="preserve"> See </w:t>
      </w:r>
      <w:proofErr w:type="spellStart"/>
      <w:r w:rsidRPr="00C821A7">
        <w:rPr>
          <w:rFonts w:ascii="Times New Roman" w:hAnsi="Times New Roman" w:cs="Times New Roman"/>
          <w:sz w:val="22"/>
          <w:szCs w:val="22"/>
          <w:u w:val="single"/>
        </w:rPr>
        <w:t>Wergin</w:t>
      </w:r>
      <w:proofErr w:type="spellEnd"/>
      <w:r w:rsidRPr="00C821A7">
        <w:rPr>
          <w:rFonts w:ascii="Times New Roman" w:hAnsi="Times New Roman" w:cs="Times New Roman"/>
          <w:sz w:val="22"/>
          <w:szCs w:val="22"/>
          <w:u w:val="single"/>
        </w:rPr>
        <w:t xml:space="preserve"> v. Voss</w:t>
      </w:r>
      <w:r w:rsidRPr="00C821A7">
        <w:rPr>
          <w:rFonts w:ascii="Times New Roman" w:hAnsi="Times New Roman" w:cs="Times New Roman"/>
          <w:sz w:val="22"/>
          <w:szCs w:val="22"/>
        </w:rPr>
        <w:t xml:space="preserve">, 179 </w:t>
      </w:r>
      <w:proofErr w:type="spellStart"/>
      <w:r w:rsidRPr="00C821A7">
        <w:rPr>
          <w:rFonts w:ascii="Times New Roman" w:hAnsi="Times New Roman" w:cs="Times New Roman"/>
          <w:sz w:val="22"/>
          <w:szCs w:val="22"/>
        </w:rPr>
        <w:t>Wis</w:t>
      </w:r>
      <w:proofErr w:type="spellEnd"/>
      <w:r w:rsidRPr="00C821A7">
        <w:rPr>
          <w:rFonts w:ascii="Times New Roman" w:hAnsi="Times New Roman" w:cs="Times New Roman"/>
          <w:sz w:val="22"/>
          <w:szCs w:val="22"/>
        </w:rPr>
        <w:t xml:space="preserve"> 603, 606, 192 N.W. 51 (1923). While the court in Kruger </w:t>
      </w:r>
      <w:r w:rsidRPr="00C821A7">
        <w:rPr>
          <w:rFonts w:ascii="Times New Roman" w:eastAsia="Calibri" w:hAnsi="Times New Roman" w:cs="Times New Roman"/>
          <w:sz w:val="22"/>
          <w:szCs w:val="22"/>
        </w:rPr>
        <w:t xml:space="preserve">used the term “anticipated” nuisance, synonymous terms include “threatened” nuisance, “prospective” nuisance, and “anticipatory” nuisance. See </w:t>
      </w:r>
      <w:proofErr w:type="spellStart"/>
      <w:r w:rsidRPr="00C821A7">
        <w:rPr>
          <w:rFonts w:ascii="Times New Roman" w:eastAsia="Calibri" w:hAnsi="Times New Roman" w:cs="Times New Roman"/>
          <w:sz w:val="22"/>
          <w:szCs w:val="22"/>
          <w:u w:val="single"/>
        </w:rPr>
        <w:t>Wergin</w:t>
      </w:r>
      <w:proofErr w:type="spellEnd"/>
      <w:r w:rsidRPr="00C821A7">
        <w:rPr>
          <w:rFonts w:ascii="Times New Roman" w:eastAsia="Calibri" w:hAnsi="Times New Roman" w:cs="Times New Roman"/>
          <w:sz w:val="22"/>
          <w:szCs w:val="22"/>
        </w:rPr>
        <w:t xml:space="preserve">, 179 </w:t>
      </w:r>
      <w:proofErr w:type="spellStart"/>
      <w:r w:rsidRPr="00C821A7">
        <w:rPr>
          <w:rFonts w:ascii="Times New Roman" w:eastAsia="Calibri" w:hAnsi="Times New Roman" w:cs="Times New Roman"/>
          <w:sz w:val="22"/>
          <w:szCs w:val="22"/>
        </w:rPr>
        <w:t>Wis</w:t>
      </w:r>
      <w:proofErr w:type="spellEnd"/>
      <w:r w:rsidRPr="00C821A7">
        <w:rPr>
          <w:rFonts w:ascii="Times New Roman" w:eastAsia="Calibri" w:hAnsi="Times New Roman" w:cs="Times New Roman"/>
          <w:sz w:val="22"/>
          <w:szCs w:val="22"/>
        </w:rPr>
        <w:t xml:space="preserve"> at 606. </w:t>
      </w:r>
    </w:p>
    <w:p w:rsidR="00090E26" w:rsidRPr="00C821A7" w:rsidRDefault="00090E26" w:rsidP="009C33B3">
      <w:pPr>
        <w:jc w:val="both"/>
        <w:rPr>
          <w:rFonts w:ascii="Times New Roman" w:eastAsia="Calibri" w:hAnsi="Times New Roman" w:cs="Times New Roman"/>
          <w:sz w:val="22"/>
          <w:szCs w:val="22"/>
        </w:rPr>
      </w:pPr>
    </w:p>
    <w:p w:rsidR="008150D6" w:rsidRPr="00C821A7" w:rsidRDefault="00090E26" w:rsidP="008150D6">
      <w:pPr>
        <w:ind w:firstLine="720"/>
        <w:jc w:val="both"/>
        <w:rPr>
          <w:rFonts w:ascii="Times New Roman" w:eastAsia="Calibri" w:hAnsi="Times New Roman" w:cs="Times New Roman"/>
          <w:sz w:val="22"/>
          <w:szCs w:val="22"/>
        </w:rPr>
      </w:pPr>
      <w:r w:rsidRPr="00C821A7">
        <w:rPr>
          <w:rFonts w:ascii="Times New Roman" w:eastAsia="Calibri" w:hAnsi="Times New Roman" w:cs="Times New Roman"/>
          <w:b/>
          <w:sz w:val="22"/>
          <w:szCs w:val="22"/>
        </w:rPr>
        <w:t>Activities qualifying for protection from nuisance claims</w:t>
      </w:r>
      <w:r w:rsidRPr="00C821A7">
        <w:rPr>
          <w:rFonts w:ascii="Times New Roman" w:eastAsia="Calibri" w:hAnsi="Times New Roman" w:cs="Times New Roman"/>
          <w:sz w:val="22"/>
          <w:szCs w:val="22"/>
        </w:rPr>
        <w:t xml:space="preserve">. </w:t>
      </w:r>
      <w:r w:rsidR="008150D6" w:rsidRPr="00C821A7">
        <w:rPr>
          <w:rFonts w:ascii="Times New Roman" w:eastAsia="Calibri" w:hAnsi="Times New Roman" w:cs="Times New Roman"/>
          <w:sz w:val="22"/>
          <w:szCs w:val="22"/>
        </w:rPr>
        <w:t>Wis</w:t>
      </w:r>
      <w:r w:rsidR="00676728" w:rsidRPr="00C821A7">
        <w:rPr>
          <w:rFonts w:ascii="Times New Roman" w:eastAsia="Calibri" w:hAnsi="Times New Roman" w:cs="Times New Roman"/>
          <w:sz w:val="22"/>
          <w:szCs w:val="22"/>
        </w:rPr>
        <w:t>. Stat. § 823.08, known as the “Right to Farm Law,”</w:t>
      </w:r>
      <w:r w:rsidR="008150D6" w:rsidRPr="00C821A7">
        <w:rPr>
          <w:rFonts w:ascii="Times New Roman" w:eastAsia="Calibri" w:hAnsi="Times New Roman" w:cs="Times New Roman"/>
          <w:sz w:val="22"/>
          <w:szCs w:val="22"/>
        </w:rPr>
        <w:t xml:space="preserve"> protects two categories of agricultural activities from nuisance claims: agricultural us</w:t>
      </w:r>
      <w:r w:rsidR="00676728" w:rsidRPr="00C821A7">
        <w:rPr>
          <w:rFonts w:ascii="Times New Roman" w:eastAsia="Calibri" w:hAnsi="Times New Roman" w:cs="Times New Roman"/>
          <w:sz w:val="22"/>
          <w:szCs w:val="22"/>
        </w:rPr>
        <w:t>es and agricultural practices. “Agricultural use”</w:t>
      </w:r>
      <w:r w:rsidR="008150D6" w:rsidRPr="00C821A7">
        <w:rPr>
          <w:rFonts w:ascii="Times New Roman" w:eastAsia="Calibri" w:hAnsi="Times New Roman" w:cs="Times New Roman"/>
          <w:sz w:val="22"/>
          <w:szCs w:val="22"/>
        </w:rPr>
        <w:t xml:space="preserve"> is defined in Wis. Stat. § 91.01(2) as a series of activities carried out </w:t>
      </w:r>
      <w:proofErr w:type="gramStart"/>
      <w:r w:rsidR="008150D6" w:rsidRPr="00C821A7">
        <w:rPr>
          <w:rFonts w:ascii="Times New Roman" w:eastAsia="Calibri" w:hAnsi="Times New Roman" w:cs="Times New Roman"/>
          <w:sz w:val="22"/>
          <w:szCs w:val="22"/>
        </w:rPr>
        <w:t>for the purpose of</w:t>
      </w:r>
      <w:proofErr w:type="gramEnd"/>
      <w:r w:rsidR="008150D6" w:rsidRPr="00C821A7">
        <w:rPr>
          <w:rFonts w:ascii="Times New Roman" w:eastAsia="Calibri" w:hAnsi="Times New Roman" w:cs="Times New Roman"/>
          <w:sz w:val="22"/>
          <w:szCs w:val="22"/>
        </w:rPr>
        <w:t xml:space="preserve"> generating in</w:t>
      </w:r>
      <w:r w:rsidR="00676728" w:rsidRPr="00C821A7">
        <w:rPr>
          <w:rFonts w:ascii="Times New Roman" w:eastAsia="Calibri" w:hAnsi="Times New Roman" w:cs="Times New Roman"/>
          <w:sz w:val="22"/>
          <w:szCs w:val="22"/>
        </w:rPr>
        <w:t>come or livelihood. Similarly, “agricultural practice”</w:t>
      </w:r>
      <w:r w:rsidR="008150D6" w:rsidRPr="00C821A7">
        <w:rPr>
          <w:rFonts w:ascii="Times New Roman" w:eastAsia="Calibri" w:hAnsi="Times New Roman" w:cs="Times New Roman"/>
          <w:sz w:val="22"/>
          <w:szCs w:val="22"/>
        </w:rPr>
        <w:t xml:space="preserve"> is broadly defined under § 823.08(2</w:t>
      </w:r>
      <w:proofErr w:type="gramStart"/>
      <w:r w:rsidR="008150D6" w:rsidRPr="00C821A7">
        <w:rPr>
          <w:rFonts w:ascii="Times New Roman" w:eastAsia="Calibri" w:hAnsi="Times New Roman" w:cs="Times New Roman"/>
          <w:sz w:val="22"/>
          <w:szCs w:val="22"/>
        </w:rPr>
        <w:t>)(</w:t>
      </w:r>
      <w:proofErr w:type="gramEnd"/>
      <w:r w:rsidR="008150D6" w:rsidRPr="00C821A7">
        <w:rPr>
          <w:rFonts w:ascii="Times New Roman" w:eastAsia="Calibri" w:hAnsi="Times New Roman" w:cs="Times New Roman"/>
          <w:sz w:val="22"/>
          <w:szCs w:val="22"/>
        </w:rPr>
        <w:t>a) as any activity associated with an agricultural use.</w:t>
      </w:r>
    </w:p>
    <w:p w:rsidR="008150D6" w:rsidRPr="00C821A7" w:rsidRDefault="008150D6" w:rsidP="008150D6">
      <w:pPr>
        <w:ind w:firstLine="720"/>
        <w:jc w:val="both"/>
        <w:rPr>
          <w:rFonts w:ascii="Times New Roman" w:eastAsia="Calibri" w:hAnsi="Times New Roman" w:cs="Times New Roman"/>
          <w:sz w:val="22"/>
          <w:szCs w:val="22"/>
        </w:rPr>
      </w:pPr>
    </w:p>
    <w:p w:rsidR="008150D6" w:rsidRPr="00C821A7" w:rsidRDefault="008150D6" w:rsidP="008150D6">
      <w:pPr>
        <w:ind w:firstLine="720"/>
        <w:jc w:val="both"/>
        <w:rPr>
          <w:rFonts w:ascii="Times New Roman" w:eastAsia="Calibri" w:hAnsi="Times New Roman" w:cs="Times New Roman"/>
          <w:sz w:val="22"/>
          <w:szCs w:val="22"/>
        </w:rPr>
      </w:pPr>
      <w:r w:rsidRPr="00C821A7">
        <w:rPr>
          <w:rFonts w:ascii="Times New Roman" w:eastAsia="Calibri" w:hAnsi="Times New Roman" w:cs="Times New Roman"/>
          <w:sz w:val="22"/>
          <w:szCs w:val="22"/>
        </w:rPr>
        <w:t xml:space="preserve">The Right to Farm Law mandates the dismissal of a nuisance claim related to an agricultural use or practice if both of the following criteria </w:t>
      </w:r>
      <w:proofErr w:type="gramStart"/>
      <w:r w:rsidRPr="00C821A7">
        <w:rPr>
          <w:rFonts w:ascii="Times New Roman" w:eastAsia="Calibri" w:hAnsi="Times New Roman" w:cs="Times New Roman"/>
          <w:sz w:val="22"/>
          <w:szCs w:val="22"/>
        </w:rPr>
        <w:t>are met</w:t>
      </w:r>
      <w:proofErr w:type="gramEnd"/>
      <w:r w:rsidRPr="00C821A7">
        <w:rPr>
          <w:rFonts w:ascii="Times New Roman" w:eastAsia="Calibri" w:hAnsi="Times New Roman" w:cs="Times New Roman"/>
          <w:sz w:val="22"/>
          <w:szCs w:val="22"/>
        </w:rPr>
        <w:t>:</w:t>
      </w:r>
    </w:p>
    <w:p w:rsidR="008150D6" w:rsidRPr="00C821A7" w:rsidRDefault="008150D6" w:rsidP="008150D6">
      <w:pPr>
        <w:ind w:firstLine="720"/>
        <w:jc w:val="both"/>
        <w:rPr>
          <w:rFonts w:ascii="Times New Roman" w:eastAsia="Calibri" w:hAnsi="Times New Roman" w:cs="Times New Roman"/>
          <w:sz w:val="22"/>
          <w:szCs w:val="22"/>
        </w:rPr>
      </w:pPr>
    </w:p>
    <w:p w:rsidR="008150D6" w:rsidRPr="00C821A7" w:rsidRDefault="008150D6" w:rsidP="008150D6">
      <w:pPr>
        <w:pStyle w:val="ListParagraph"/>
        <w:numPr>
          <w:ilvl w:val="0"/>
          <w:numId w:val="4"/>
        </w:numPr>
        <w:ind w:right="450"/>
        <w:jc w:val="both"/>
        <w:rPr>
          <w:rFonts w:ascii="Times New Roman" w:eastAsia="Calibri" w:hAnsi="Times New Roman" w:cs="Times New Roman"/>
          <w:sz w:val="22"/>
          <w:szCs w:val="22"/>
        </w:rPr>
      </w:pPr>
      <w:r w:rsidRPr="00C821A7">
        <w:rPr>
          <w:rFonts w:ascii="Times New Roman" w:eastAsia="Calibri" w:hAnsi="Times New Roman" w:cs="Times New Roman"/>
          <w:sz w:val="22"/>
          <w:szCs w:val="22"/>
        </w:rPr>
        <w:t>The agricultural use or practice alleged to be a nuisance is conducted on land that has been in continuous agricultural use without substantial interruption prior to the plaintiff’s use of the property, which the plaintiff claims was interfered with by the agricultural activity.</w:t>
      </w:r>
    </w:p>
    <w:p w:rsidR="008150D6" w:rsidRPr="00C821A7" w:rsidRDefault="008150D6" w:rsidP="008150D6">
      <w:pPr>
        <w:pStyle w:val="ListParagraph"/>
        <w:ind w:left="1080" w:right="450"/>
        <w:jc w:val="both"/>
        <w:rPr>
          <w:rFonts w:ascii="Times New Roman" w:eastAsia="Calibri" w:hAnsi="Times New Roman" w:cs="Times New Roman"/>
          <w:sz w:val="22"/>
          <w:szCs w:val="22"/>
        </w:rPr>
      </w:pPr>
    </w:p>
    <w:p w:rsidR="008150D6" w:rsidRPr="00C821A7" w:rsidRDefault="008150D6" w:rsidP="008150D6">
      <w:pPr>
        <w:pStyle w:val="ListParagraph"/>
        <w:numPr>
          <w:ilvl w:val="0"/>
          <w:numId w:val="4"/>
        </w:numPr>
        <w:ind w:right="450"/>
        <w:jc w:val="both"/>
        <w:rPr>
          <w:rFonts w:ascii="Times New Roman" w:eastAsia="Calibri" w:hAnsi="Times New Roman" w:cs="Times New Roman"/>
          <w:sz w:val="22"/>
          <w:szCs w:val="22"/>
        </w:rPr>
      </w:pPr>
      <w:r w:rsidRPr="00C821A7">
        <w:rPr>
          <w:rFonts w:ascii="Times New Roman" w:eastAsia="Calibri" w:hAnsi="Times New Roman" w:cs="Times New Roman"/>
          <w:sz w:val="22"/>
          <w:szCs w:val="22"/>
        </w:rPr>
        <w:t>The agricultural use or practice does not pose a substantial threat to public health or safety.</w:t>
      </w:r>
    </w:p>
    <w:p w:rsidR="008150D6" w:rsidRPr="00C821A7" w:rsidRDefault="008150D6" w:rsidP="008150D6">
      <w:pPr>
        <w:ind w:firstLine="720"/>
        <w:jc w:val="both"/>
        <w:rPr>
          <w:rFonts w:ascii="Times New Roman" w:eastAsia="Calibri" w:hAnsi="Times New Roman" w:cs="Times New Roman"/>
          <w:sz w:val="22"/>
          <w:szCs w:val="22"/>
        </w:rPr>
      </w:pPr>
    </w:p>
    <w:p w:rsidR="00090E26" w:rsidRPr="00C821A7" w:rsidRDefault="008150D6" w:rsidP="008150D6">
      <w:pPr>
        <w:ind w:firstLine="720"/>
        <w:jc w:val="both"/>
        <w:rPr>
          <w:rFonts w:ascii="Times New Roman" w:eastAsia="Calibri" w:hAnsi="Times New Roman" w:cs="Times New Roman"/>
          <w:sz w:val="22"/>
          <w:szCs w:val="22"/>
        </w:rPr>
      </w:pPr>
      <w:r w:rsidRPr="00C821A7">
        <w:rPr>
          <w:rFonts w:ascii="Times New Roman" w:eastAsia="Calibri" w:hAnsi="Times New Roman" w:cs="Times New Roman"/>
          <w:sz w:val="22"/>
          <w:szCs w:val="22"/>
        </w:rPr>
        <w:t>WIS. STAT. § 823.08(3</w:t>
      </w:r>
      <w:proofErr w:type="gramStart"/>
      <w:r w:rsidRPr="00C821A7">
        <w:rPr>
          <w:rFonts w:ascii="Times New Roman" w:eastAsia="Calibri" w:hAnsi="Times New Roman" w:cs="Times New Roman"/>
          <w:sz w:val="22"/>
          <w:szCs w:val="22"/>
        </w:rPr>
        <w:t>)(</w:t>
      </w:r>
      <w:proofErr w:type="gramEnd"/>
      <w:r w:rsidRPr="00C821A7">
        <w:rPr>
          <w:rFonts w:ascii="Times New Roman" w:eastAsia="Calibri" w:hAnsi="Times New Roman" w:cs="Times New Roman"/>
          <w:sz w:val="22"/>
          <w:szCs w:val="22"/>
        </w:rPr>
        <w:t>a).</w:t>
      </w:r>
    </w:p>
    <w:p w:rsidR="00676728" w:rsidRPr="00C821A7" w:rsidRDefault="00676728" w:rsidP="00676728">
      <w:pPr>
        <w:jc w:val="both"/>
        <w:rPr>
          <w:rFonts w:ascii="Times New Roman" w:eastAsia="Calibri" w:hAnsi="Times New Roman" w:cs="Times New Roman"/>
          <w:sz w:val="22"/>
          <w:szCs w:val="22"/>
        </w:rPr>
      </w:pPr>
    </w:p>
    <w:p w:rsidR="00DF1CA8" w:rsidRDefault="00676728" w:rsidP="00676728">
      <w:pPr>
        <w:ind w:firstLine="450"/>
        <w:jc w:val="both"/>
        <w:rPr>
          <w:rFonts w:ascii="Times New Roman" w:eastAsia="Calibri" w:hAnsi="Times New Roman" w:cs="Times New Roman"/>
          <w:sz w:val="22"/>
          <w:szCs w:val="22"/>
        </w:rPr>
      </w:pPr>
      <w:r w:rsidRPr="00C821A7">
        <w:rPr>
          <w:rFonts w:ascii="Times New Roman" w:eastAsia="Calibri" w:hAnsi="Times New Roman" w:cs="Times New Roman"/>
          <w:sz w:val="22"/>
          <w:szCs w:val="22"/>
        </w:rPr>
        <w:t>To satisfy the elements of this exception, a defendant must establish three prerequisites under</w:t>
      </w:r>
      <w:r w:rsidR="00FD2E23" w:rsidRPr="00C821A7">
        <w:rPr>
          <w:rFonts w:ascii="Times New Roman" w:eastAsia="Calibri" w:hAnsi="Times New Roman" w:cs="Times New Roman"/>
          <w:sz w:val="22"/>
          <w:szCs w:val="22"/>
        </w:rPr>
        <w:t xml:space="preserve"> § 823.08. First, the plaintiff’</w:t>
      </w:r>
      <w:r w:rsidRPr="00C821A7">
        <w:rPr>
          <w:rFonts w:ascii="Times New Roman" w:eastAsia="Calibri" w:hAnsi="Times New Roman" w:cs="Times New Roman"/>
          <w:sz w:val="22"/>
          <w:szCs w:val="22"/>
        </w:rPr>
        <w:t>s claim must involve a nuisance arising from an agricultural use or practice. Second, the land on which the alleged nuisance occurred must have been in continuous agricultural use, without substantial inter</w:t>
      </w:r>
      <w:r w:rsidR="00FD2E23" w:rsidRPr="00C821A7">
        <w:rPr>
          <w:rFonts w:ascii="Times New Roman" w:eastAsia="Calibri" w:hAnsi="Times New Roman" w:cs="Times New Roman"/>
          <w:sz w:val="22"/>
          <w:szCs w:val="22"/>
        </w:rPr>
        <w:t>ruption, prior to the plaintiff’</w:t>
      </w:r>
      <w:r w:rsidRPr="00C821A7">
        <w:rPr>
          <w:rFonts w:ascii="Times New Roman" w:eastAsia="Calibri" w:hAnsi="Times New Roman" w:cs="Times New Roman"/>
          <w:sz w:val="22"/>
          <w:szCs w:val="22"/>
        </w:rPr>
        <w:t>s commencement of the specific use of their property that is claimed to be i</w:t>
      </w:r>
      <w:r w:rsidR="00FD2E23" w:rsidRPr="00C821A7">
        <w:rPr>
          <w:rFonts w:ascii="Times New Roman" w:eastAsia="Calibri" w:hAnsi="Times New Roman" w:cs="Times New Roman"/>
          <w:sz w:val="22"/>
          <w:szCs w:val="22"/>
        </w:rPr>
        <w:t>nterfered with by the defendant’</w:t>
      </w:r>
      <w:r w:rsidRPr="00C821A7">
        <w:rPr>
          <w:rFonts w:ascii="Times New Roman" w:eastAsia="Calibri" w:hAnsi="Times New Roman" w:cs="Times New Roman"/>
          <w:sz w:val="22"/>
          <w:szCs w:val="22"/>
        </w:rPr>
        <w:t>s agricultural use or practice. Third, the defend</w:t>
      </w:r>
      <w:r w:rsidR="00FD2E23" w:rsidRPr="00C821A7">
        <w:rPr>
          <w:rFonts w:ascii="Times New Roman" w:eastAsia="Calibri" w:hAnsi="Times New Roman" w:cs="Times New Roman"/>
          <w:sz w:val="22"/>
          <w:szCs w:val="22"/>
        </w:rPr>
        <w:t>ant’</w:t>
      </w:r>
      <w:r w:rsidRPr="00C821A7">
        <w:rPr>
          <w:rFonts w:ascii="Times New Roman" w:eastAsia="Calibri" w:hAnsi="Times New Roman" w:cs="Times New Roman"/>
          <w:sz w:val="22"/>
          <w:szCs w:val="22"/>
        </w:rPr>
        <w:t>s agricultural use or practice, alleged to constitute a nuisance, must not pose a substantial threat to public health or safety.</w:t>
      </w: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DF1CA8" w:rsidRPr="00DF1CA8" w:rsidRDefault="00DF1CA8" w:rsidP="00DF1CA8">
      <w:pPr>
        <w:rPr>
          <w:rFonts w:ascii="Times New Roman" w:eastAsia="Calibri" w:hAnsi="Times New Roman" w:cs="Times New Roman"/>
          <w:sz w:val="22"/>
          <w:szCs w:val="22"/>
        </w:rPr>
      </w:pPr>
    </w:p>
    <w:p w:rsidR="00676728" w:rsidRPr="00DF1CA8" w:rsidRDefault="00DF1CA8" w:rsidP="00DF1CA8">
      <w:pPr>
        <w:tabs>
          <w:tab w:val="left" w:pos="1697"/>
        </w:tabs>
        <w:rPr>
          <w:rFonts w:ascii="Times New Roman" w:eastAsia="Calibri" w:hAnsi="Times New Roman" w:cs="Times New Roman"/>
          <w:sz w:val="22"/>
          <w:szCs w:val="22"/>
        </w:rPr>
      </w:pPr>
      <w:r>
        <w:rPr>
          <w:rFonts w:ascii="Times New Roman" w:eastAsia="Calibri" w:hAnsi="Times New Roman" w:cs="Times New Roman"/>
          <w:sz w:val="22"/>
          <w:szCs w:val="22"/>
        </w:rPr>
        <w:tab/>
      </w:r>
    </w:p>
    <w:sectPr w:rsidR="00676728" w:rsidRPr="00DF1CA8" w:rsidSect="00C821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B8C" w:rsidRDefault="006D4B8C" w:rsidP="006D4B8C">
      <w:r>
        <w:separator/>
      </w:r>
    </w:p>
  </w:endnote>
  <w:endnote w:type="continuationSeparator" w:id="0">
    <w:p w:rsidR="006D4B8C" w:rsidRDefault="006D4B8C" w:rsidP="006D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35D" w:rsidRDefault="0012735D" w:rsidP="0012735D">
    <w:pPr>
      <w:pStyle w:val="Footer"/>
      <w:jc w:val="both"/>
      <w:rPr>
        <w:rFonts w:ascii="Arial" w:hAnsi="Arial" w:cs="Arial"/>
        <w:sz w:val="20"/>
        <w:szCs w:val="20"/>
      </w:rPr>
    </w:pPr>
  </w:p>
  <w:p w:rsidR="0012735D" w:rsidRPr="0012735D" w:rsidRDefault="0012735D" w:rsidP="0012735D">
    <w:pPr>
      <w:pStyle w:val="Footer"/>
      <w:jc w:val="both"/>
      <w:rPr>
        <w:rFonts w:ascii="Arial" w:hAnsi="Arial" w:cs="Arial"/>
        <w:sz w:val="20"/>
        <w:szCs w:val="20"/>
      </w:rPr>
    </w:pPr>
    <w:r w:rsidRPr="0012735D">
      <w:rPr>
        <w:rFonts w:ascii="Arial" w:hAnsi="Arial" w:cs="Arial"/>
        <w:sz w:val="20"/>
        <w:szCs w:val="20"/>
      </w:rPr>
      <w:t>Wisconsin C</w:t>
    </w:r>
    <w:r w:rsidR="00DF1CA8">
      <w:rPr>
        <w:rFonts w:ascii="Arial" w:hAnsi="Arial" w:cs="Arial"/>
        <w:sz w:val="20"/>
        <w:szCs w:val="20"/>
      </w:rPr>
      <w:t xml:space="preserve">ourt System, </w:t>
    </w:r>
    <w:r w:rsidR="00715B03">
      <w:rPr>
        <w:rFonts w:ascii="Arial" w:hAnsi="Arial" w:cs="Arial"/>
        <w:sz w:val="20"/>
        <w:szCs w:val="20"/>
      </w:rPr>
      <w:t>2</w:t>
    </w:r>
    <w:r w:rsidR="00DF1CA8">
      <w:rPr>
        <w:rFonts w:ascii="Arial" w:hAnsi="Arial" w:cs="Arial"/>
        <w:sz w:val="20"/>
        <w:szCs w:val="20"/>
      </w:rPr>
      <w:t>/2025</w:t>
    </w:r>
    <w:r w:rsidR="00C821A7">
      <w:rPr>
        <w:rFonts w:ascii="Arial" w:hAnsi="Arial" w:cs="Arial"/>
        <w:sz w:val="20"/>
        <w:szCs w:val="20"/>
      </w:rPr>
      <w:tab/>
    </w:r>
    <w:r w:rsidR="00C821A7">
      <w:rPr>
        <w:rFonts w:ascii="Arial" w:hAnsi="Arial" w:cs="Arial"/>
        <w:sz w:val="20"/>
        <w:szCs w:val="20"/>
      </w:rPr>
      <w:tab/>
      <w:t>(Release No. 58</w:t>
    </w:r>
    <w:r w:rsidRPr="0012735D">
      <w:rPr>
        <w:rFonts w:ascii="Arial" w:hAnsi="Arial" w:cs="Arial"/>
        <w:sz w:val="20"/>
        <w:szCs w:val="20"/>
      </w:rPr>
      <w:t>)</w:t>
    </w:r>
  </w:p>
  <w:p w:rsidR="0012735D" w:rsidRPr="0012735D" w:rsidRDefault="00D16482">
    <w:pPr>
      <w:pStyle w:val="Footer"/>
      <w:jc w:val="center"/>
      <w:rPr>
        <w:rFonts w:ascii="Arial" w:hAnsi="Arial" w:cs="Arial"/>
        <w:sz w:val="20"/>
        <w:szCs w:val="20"/>
      </w:rPr>
    </w:pPr>
    <w:sdt>
      <w:sdtPr>
        <w:rPr>
          <w:rFonts w:ascii="Arial" w:hAnsi="Arial" w:cs="Arial"/>
          <w:sz w:val="20"/>
          <w:szCs w:val="20"/>
        </w:rPr>
        <w:id w:val="726807753"/>
        <w:docPartObj>
          <w:docPartGallery w:val="Page Numbers (Bottom of Page)"/>
          <w:docPartUnique/>
        </w:docPartObj>
      </w:sdtPr>
      <w:sdtEndPr>
        <w:rPr>
          <w:noProof/>
        </w:rPr>
      </w:sdtEndPr>
      <w:sdtContent>
        <w:r w:rsidR="0012735D" w:rsidRPr="0012735D">
          <w:rPr>
            <w:rFonts w:ascii="Arial" w:hAnsi="Arial" w:cs="Arial"/>
            <w:sz w:val="20"/>
            <w:szCs w:val="20"/>
          </w:rPr>
          <w:fldChar w:fldCharType="begin"/>
        </w:r>
        <w:r w:rsidR="0012735D" w:rsidRPr="0012735D">
          <w:rPr>
            <w:rFonts w:ascii="Arial" w:hAnsi="Arial" w:cs="Arial"/>
            <w:sz w:val="20"/>
            <w:szCs w:val="20"/>
          </w:rPr>
          <w:instrText xml:space="preserve"> PAGE   \* MERGEFORMAT </w:instrText>
        </w:r>
        <w:r w:rsidR="0012735D" w:rsidRPr="0012735D">
          <w:rPr>
            <w:rFonts w:ascii="Arial" w:hAnsi="Arial" w:cs="Arial"/>
            <w:sz w:val="20"/>
            <w:szCs w:val="20"/>
          </w:rPr>
          <w:fldChar w:fldCharType="separate"/>
        </w:r>
        <w:r>
          <w:rPr>
            <w:rFonts w:ascii="Arial" w:hAnsi="Arial" w:cs="Arial"/>
            <w:noProof/>
            <w:sz w:val="20"/>
            <w:szCs w:val="20"/>
          </w:rPr>
          <w:t>13</w:t>
        </w:r>
        <w:r w:rsidR="0012735D" w:rsidRPr="0012735D">
          <w:rPr>
            <w:rFonts w:ascii="Arial" w:hAnsi="Arial" w:cs="Arial"/>
            <w:noProof/>
            <w:sz w:val="20"/>
            <w:szCs w:val="20"/>
          </w:rPr>
          <w:fldChar w:fldCharType="end"/>
        </w:r>
      </w:sdtContent>
    </w:sdt>
  </w:p>
  <w:p w:rsidR="0012735D" w:rsidRDefault="00127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B8C" w:rsidRDefault="006D4B8C" w:rsidP="006D4B8C">
      <w:r>
        <w:separator/>
      </w:r>
    </w:p>
  </w:footnote>
  <w:footnote w:type="continuationSeparator" w:id="0">
    <w:p w:rsidR="006D4B8C" w:rsidRDefault="006D4B8C" w:rsidP="006D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8C" w:rsidRDefault="006D4B8C" w:rsidP="006D4B8C">
    <w:pPr>
      <w:tabs>
        <w:tab w:val="center" w:pos="4680"/>
        <w:tab w:val="right" w:pos="9360"/>
      </w:tabs>
      <w:jc w:val="both"/>
      <w:rPr>
        <w:rFonts w:ascii="Helvetica" w:hAnsi="Helvetica" w:cs="Helvetica"/>
        <w:b/>
        <w:bCs/>
        <w:sz w:val="28"/>
        <w:szCs w:val="28"/>
      </w:rPr>
    </w:pPr>
  </w:p>
  <w:p w:rsidR="006D4B8C" w:rsidRDefault="006D4B8C" w:rsidP="006D4B8C">
    <w:pPr>
      <w:tabs>
        <w:tab w:val="center" w:pos="4680"/>
        <w:tab w:val="right" w:pos="9360"/>
      </w:tabs>
      <w:jc w:val="both"/>
      <w:rPr>
        <w:rFonts w:ascii="Helvetica" w:hAnsi="Helvetica" w:cs="Helvetica"/>
        <w:b/>
        <w:bCs/>
        <w:sz w:val="28"/>
        <w:szCs w:val="28"/>
      </w:rPr>
    </w:pPr>
    <w:r w:rsidRPr="006D4B8C">
      <w:rPr>
        <w:rFonts w:ascii="Helvetica" w:hAnsi="Helvetica" w:cs="Helvetica"/>
        <w:b/>
        <w:bCs/>
        <w:sz w:val="28"/>
        <w:szCs w:val="28"/>
      </w:rPr>
      <w:t>1920</w:t>
    </w:r>
    <w:r w:rsidRPr="006D4B8C">
      <w:rPr>
        <w:rFonts w:ascii="Helvetica" w:hAnsi="Helvetica" w:cs="Helvetica"/>
        <w:b/>
        <w:bCs/>
        <w:sz w:val="28"/>
        <w:szCs w:val="28"/>
      </w:rPr>
      <w:tab/>
      <w:t>WIS JI-CIVIL</w:t>
    </w:r>
    <w:r w:rsidRPr="006D4B8C">
      <w:rPr>
        <w:rFonts w:ascii="Helvetica" w:hAnsi="Helvetica" w:cs="Helvetica"/>
        <w:b/>
        <w:bCs/>
        <w:sz w:val="28"/>
        <w:szCs w:val="28"/>
      </w:rPr>
      <w:tab/>
      <w:t>1920</w:t>
    </w:r>
  </w:p>
  <w:p w:rsidR="006D4B8C" w:rsidRDefault="006D4B8C" w:rsidP="006D4B8C">
    <w:pPr>
      <w:tabs>
        <w:tab w:val="center" w:pos="4680"/>
        <w:tab w:val="right" w:pos="9360"/>
      </w:tabs>
      <w:jc w:val="both"/>
      <w:rPr>
        <w:rFonts w:ascii="Helvetica" w:hAnsi="Helvetica" w:cs="Helvetica"/>
        <w:b/>
        <w:bCs/>
        <w:sz w:val="28"/>
        <w:szCs w:val="28"/>
      </w:rPr>
    </w:pPr>
  </w:p>
  <w:p w:rsidR="006D4B8C" w:rsidRPr="006D4B8C" w:rsidRDefault="006D4B8C" w:rsidP="006D4B8C">
    <w:pPr>
      <w:tabs>
        <w:tab w:val="center" w:pos="4680"/>
        <w:tab w:val="right" w:pos="9360"/>
      </w:tabs>
      <w:jc w:val="both"/>
      <w:rPr>
        <w:rFonts w:ascii="Helvetica" w:hAnsi="Helvetica" w:cs="Helvetic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01E74"/>
    <w:multiLevelType w:val="hybridMultilevel"/>
    <w:tmpl w:val="0ACC8BC0"/>
    <w:lvl w:ilvl="0" w:tplc="0D9C7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ED67C3"/>
    <w:multiLevelType w:val="hybridMultilevel"/>
    <w:tmpl w:val="9BF469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C7A07FB"/>
    <w:multiLevelType w:val="hybridMultilevel"/>
    <w:tmpl w:val="B12ED7E4"/>
    <w:lvl w:ilvl="0" w:tplc="FDF8ABA6">
      <w:start w:val="1"/>
      <w:numFmt w:val="decimal"/>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735E05"/>
    <w:multiLevelType w:val="hybridMultilevel"/>
    <w:tmpl w:val="AE5A5176"/>
    <w:lvl w:ilvl="0" w:tplc="7AEC49EC">
      <w:start w:val="1"/>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8C"/>
    <w:rsid w:val="00032C02"/>
    <w:rsid w:val="00054572"/>
    <w:rsid w:val="00056261"/>
    <w:rsid w:val="00090E26"/>
    <w:rsid w:val="000B3E7F"/>
    <w:rsid w:val="000D4989"/>
    <w:rsid w:val="0012735D"/>
    <w:rsid w:val="00185C5C"/>
    <w:rsid w:val="001F1E6B"/>
    <w:rsid w:val="002154AA"/>
    <w:rsid w:val="002333C1"/>
    <w:rsid w:val="00242612"/>
    <w:rsid w:val="002827F4"/>
    <w:rsid w:val="002B61E7"/>
    <w:rsid w:val="002B6B30"/>
    <w:rsid w:val="002E18B2"/>
    <w:rsid w:val="003110B9"/>
    <w:rsid w:val="003428FB"/>
    <w:rsid w:val="003613BC"/>
    <w:rsid w:val="003B6CBF"/>
    <w:rsid w:val="003F2971"/>
    <w:rsid w:val="004065E1"/>
    <w:rsid w:val="004B4996"/>
    <w:rsid w:val="004D4B52"/>
    <w:rsid w:val="00556C93"/>
    <w:rsid w:val="00573723"/>
    <w:rsid w:val="005F0ADF"/>
    <w:rsid w:val="005F284B"/>
    <w:rsid w:val="00607014"/>
    <w:rsid w:val="00622349"/>
    <w:rsid w:val="006429E0"/>
    <w:rsid w:val="0065277D"/>
    <w:rsid w:val="00676728"/>
    <w:rsid w:val="006B0CD0"/>
    <w:rsid w:val="006D4B8C"/>
    <w:rsid w:val="006E24A5"/>
    <w:rsid w:val="00715B03"/>
    <w:rsid w:val="00755C38"/>
    <w:rsid w:val="00785A49"/>
    <w:rsid w:val="0078682B"/>
    <w:rsid w:val="007D66B3"/>
    <w:rsid w:val="007D7F0E"/>
    <w:rsid w:val="007F3828"/>
    <w:rsid w:val="008150D6"/>
    <w:rsid w:val="008858BA"/>
    <w:rsid w:val="00901D52"/>
    <w:rsid w:val="009136F4"/>
    <w:rsid w:val="009377C6"/>
    <w:rsid w:val="00971AFF"/>
    <w:rsid w:val="009C33B3"/>
    <w:rsid w:val="009D50C3"/>
    <w:rsid w:val="00A54886"/>
    <w:rsid w:val="00A57AC3"/>
    <w:rsid w:val="00AD2356"/>
    <w:rsid w:val="00B11DCD"/>
    <w:rsid w:val="00B31091"/>
    <w:rsid w:val="00BC040D"/>
    <w:rsid w:val="00C00C2A"/>
    <w:rsid w:val="00C065EF"/>
    <w:rsid w:val="00C54C78"/>
    <w:rsid w:val="00C821A7"/>
    <w:rsid w:val="00C825A5"/>
    <w:rsid w:val="00C87AB1"/>
    <w:rsid w:val="00CA42E0"/>
    <w:rsid w:val="00D16482"/>
    <w:rsid w:val="00D63F4D"/>
    <w:rsid w:val="00DF1CA8"/>
    <w:rsid w:val="00E353C3"/>
    <w:rsid w:val="00E561D2"/>
    <w:rsid w:val="00FD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AC43"/>
  <w15:chartTrackingRefBased/>
  <w15:docId w15:val="{7B73EDAD-28E6-447B-922F-7D4511CB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B8C"/>
    <w:pPr>
      <w:widowControl w:val="0"/>
      <w:autoSpaceDE w:val="0"/>
      <w:autoSpaceDN w:val="0"/>
      <w:adjustRightInd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8C"/>
    <w:pPr>
      <w:tabs>
        <w:tab w:val="center" w:pos="4680"/>
        <w:tab w:val="right" w:pos="9360"/>
      </w:tabs>
    </w:pPr>
  </w:style>
  <w:style w:type="character" w:customStyle="1" w:styleId="HeaderChar">
    <w:name w:val="Header Char"/>
    <w:basedOn w:val="DefaultParagraphFont"/>
    <w:link w:val="Header"/>
    <w:uiPriority w:val="99"/>
    <w:rsid w:val="006D4B8C"/>
  </w:style>
  <w:style w:type="paragraph" w:styleId="Footer">
    <w:name w:val="footer"/>
    <w:basedOn w:val="Normal"/>
    <w:link w:val="FooterChar"/>
    <w:uiPriority w:val="99"/>
    <w:unhideWhenUsed/>
    <w:rsid w:val="006D4B8C"/>
    <w:pPr>
      <w:tabs>
        <w:tab w:val="center" w:pos="4680"/>
        <w:tab w:val="right" w:pos="9360"/>
      </w:tabs>
    </w:pPr>
  </w:style>
  <w:style w:type="character" w:customStyle="1" w:styleId="FooterChar">
    <w:name w:val="Footer Char"/>
    <w:basedOn w:val="DefaultParagraphFont"/>
    <w:link w:val="Footer"/>
    <w:uiPriority w:val="99"/>
    <w:rsid w:val="006D4B8C"/>
  </w:style>
  <w:style w:type="character" w:styleId="FootnoteReference">
    <w:name w:val="footnote reference"/>
    <w:uiPriority w:val="99"/>
    <w:rsid w:val="006D4B8C"/>
  </w:style>
  <w:style w:type="character" w:styleId="LineNumber">
    <w:name w:val="line number"/>
    <w:basedOn w:val="DefaultParagraphFont"/>
    <w:uiPriority w:val="99"/>
    <w:semiHidden/>
    <w:unhideWhenUsed/>
    <w:rsid w:val="006D4B8C"/>
  </w:style>
  <w:style w:type="paragraph" w:styleId="NoSpacing">
    <w:name w:val="No Spacing"/>
    <w:uiPriority w:val="1"/>
    <w:qFormat/>
    <w:rsid w:val="006D4B8C"/>
    <w:pPr>
      <w:widowControl w:val="0"/>
      <w:autoSpaceDE w:val="0"/>
      <w:autoSpaceDN w:val="0"/>
      <w:adjustRightInd w:val="0"/>
      <w:spacing w:after="0" w:line="240" w:lineRule="auto"/>
    </w:pPr>
    <w:rPr>
      <w:rFonts w:ascii="Times" w:eastAsia="Times New Roman" w:hAnsi="Times" w:cs="Times"/>
      <w:sz w:val="24"/>
      <w:szCs w:val="24"/>
    </w:rPr>
  </w:style>
  <w:style w:type="paragraph" w:styleId="ListParagraph">
    <w:name w:val="List Paragraph"/>
    <w:basedOn w:val="Normal"/>
    <w:uiPriority w:val="34"/>
    <w:qFormat/>
    <w:rsid w:val="00C06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7</cp:revision>
  <dcterms:created xsi:type="dcterms:W3CDTF">2025-01-10T21:40:00Z</dcterms:created>
  <dcterms:modified xsi:type="dcterms:W3CDTF">2025-03-06T19:35:00Z</dcterms:modified>
</cp:coreProperties>
</file>