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DDC" w:rsidRPr="00155E54" w:rsidRDefault="00996DDC" w:rsidP="00996DD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6"/>
          <w:szCs w:val="26"/>
        </w:rPr>
      </w:pPr>
      <w:r w:rsidRPr="00155E54">
        <w:rPr>
          <w:rFonts w:ascii="Times New Roman" w:hAnsi="Times New Roman" w:cs="Times New Roman"/>
          <w:b/>
          <w:bCs/>
          <w:sz w:val="26"/>
          <w:szCs w:val="26"/>
        </w:rPr>
        <w:t>1926</w:t>
      </w:r>
      <w:r w:rsidRPr="00155E54">
        <w:rPr>
          <w:rFonts w:ascii="Times New Roman" w:hAnsi="Times New Roman" w:cs="Times New Roman"/>
          <w:b/>
          <w:bCs/>
          <w:sz w:val="26"/>
          <w:szCs w:val="26"/>
        </w:rPr>
        <w:tab/>
        <w:t>PRIVATE NUISANCE: INTENTIONAL CONDUCT</w:t>
      </w:r>
      <w:r w:rsidRPr="00155E54">
        <w:rPr>
          <w:rFonts w:ascii="Times New Roman" w:hAnsi="Times New Roman" w:cs="Times New Roman"/>
          <w:sz w:val="26"/>
          <w:szCs w:val="26"/>
          <w:vertAlign w:val="superscript"/>
        </w:rPr>
        <w:t>1</w:t>
      </w:r>
    </w:p>
    <w:p w:rsidR="00D46A2F" w:rsidRPr="00155E54" w:rsidRDefault="00D46A2F" w:rsidP="00996DDC">
      <w:pPr>
        <w:pStyle w:val="NoSpacing"/>
        <w:rPr>
          <w:sz w:val="26"/>
          <w:szCs w:val="26"/>
        </w:rPr>
      </w:pPr>
    </w:p>
    <w:p w:rsidR="00996DDC" w:rsidRPr="00155E54" w:rsidRDefault="00996DDC" w:rsidP="00996DDC">
      <w:pPr>
        <w:pStyle w:val="NoSpacing"/>
        <w:rPr>
          <w:sz w:val="26"/>
          <w:szCs w:val="26"/>
        </w:rPr>
      </w:pPr>
    </w:p>
    <w:p w:rsidR="00996DDC" w:rsidRPr="00155E54" w:rsidRDefault="00996DDC" w:rsidP="00C24F29">
      <w:pPr>
        <w:pStyle w:val="NoSpacing"/>
        <w:spacing w:line="480" w:lineRule="auto"/>
        <w:ind w:firstLine="450"/>
        <w:jc w:val="both"/>
        <w:rPr>
          <w:rFonts w:ascii="Times New Roman" w:hAnsi="Times New Roman" w:cs="Times New Roman"/>
          <w:sz w:val="26"/>
          <w:szCs w:val="26"/>
        </w:rPr>
      </w:pPr>
      <w:r w:rsidRPr="00155E54">
        <w:rPr>
          <w:rFonts w:ascii="Times New Roman" w:hAnsi="Times New Roman" w:cs="Times New Roman"/>
          <w:sz w:val="26"/>
          <w:szCs w:val="26"/>
        </w:rPr>
        <w:t>To sustain a claim of nuisance in this case, (</w:t>
      </w:r>
      <w:r w:rsidRPr="00155E54">
        <w:rPr>
          <w:rFonts w:ascii="Times New Roman" w:hAnsi="Times New Roman" w:cs="Times New Roman"/>
          <w:sz w:val="26"/>
          <w:szCs w:val="26"/>
          <w:u w:val="single"/>
        </w:rPr>
        <w:t>plaintiff</w:t>
      </w:r>
      <w:r w:rsidRPr="00155E54">
        <w:rPr>
          <w:rFonts w:ascii="Times New Roman" w:hAnsi="Times New Roman" w:cs="Times New Roman"/>
          <w:sz w:val="26"/>
          <w:szCs w:val="26"/>
        </w:rPr>
        <w:t>) must prove the following four elements:</w:t>
      </w:r>
    </w:p>
    <w:p w:rsidR="00996DDC" w:rsidRPr="00155E54" w:rsidRDefault="00996DDC" w:rsidP="00C24F29">
      <w:pPr>
        <w:pStyle w:val="NoSpacing"/>
        <w:spacing w:line="480" w:lineRule="auto"/>
        <w:ind w:firstLine="450"/>
        <w:jc w:val="both"/>
        <w:rPr>
          <w:rFonts w:ascii="Times New Roman" w:hAnsi="Times New Roman" w:cs="Times New Roman"/>
          <w:sz w:val="26"/>
          <w:szCs w:val="26"/>
        </w:rPr>
      </w:pPr>
      <w:r w:rsidRPr="00155E54">
        <w:rPr>
          <w:rFonts w:ascii="Times New Roman" w:hAnsi="Times New Roman" w:cs="Times New Roman"/>
          <w:sz w:val="26"/>
          <w:szCs w:val="26"/>
        </w:rPr>
        <w:t>First, a private</w:t>
      </w:r>
      <w:r w:rsidRPr="00155E54">
        <w:rPr>
          <w:rFonts w:ascii="Times New Roman" w:hAnsi="Times New Roman" w:cs="Times New Roman"/>
          <w:i/>
          <w:iCs/>
          <w:sz w:val="26"/>
          <w:szCs w:val="26"/>
        </w:rPr>
        <w:t xml:space="preserve"> </w:t>
      </w:r>
      <w:r w:rsidRPr="00155E54">
        <w:rPr>
          <w:rFonts w:ascii="Times New Roman" w:hAnsi="Times New Roman" w:cs="Times New Roman"/>
          <w:sz w:val="26"/>
          <w:szCs w:val="26"/>
        </w:rPr>
        <w:t>nuisance exist(s</w:t>
      </w:r>
      <w:proofErr w:type="gramStart"/>
      <w:r w:rsidRPr="00155E54">
        <w:rPr>
          <w:rFonts w:ascii="Times New Roman" w:hAnsi="Times New Roman" w:cs="Times New Roman"/>
          <w:sz w:val="26"/>
          <w:szCs w:val="26"/>
        </w:rPr>
        <w:t>)(</w:t>
      </w:r>
      <w:proofErr w:type="spellStart"/>
      <w:proofErr w:type="gramEnd"/>
      <w:r w:rsidRPr="00155E54">
        <w:rPr>
          <w:rFonts w:ascii="Times New Roman" w:hAnsi="Times New Roman" w:cs="Times New Roman"/>
          <w:sz w:val="26"/>
          <w:szCs w:val="26"/>
        </w:rPr>
        <w:t>ed</w:t>
      </w:r>
      <w:proofErr w:type="spellEnd"/>
      <w:r w:rsidRPr="00155E54">
        <w:rPr>
          <w:rFonts w:ascii="Times New Roman" w:hAnsi="Times New Roman" w:cs="Times New Roman"/>
          <w:sz w:val="26"/>
          <w:szCs w:val="26"/>
        </w:rPr>
        <w:t>)</w:t>
      </w:r>
      <w:r w:rsidRPr="00155E54">
        <w:rPr>
          <w:rFonts w:ascii="Times New Roman" w:hAnsi="Times New Roman" w:cs="Times New Roman"/>
          <w:sz w:val="26"/>
          <w:szCs w:val="26"/>
          <w:vertAlign w:val="superscript"/>
        </w:rPr>
        <w:t>2</w:t>
      </w:r>
      <w:r w:rsidRPr="00155E54">
        <w:rPr>
          <w:rFonts w:ascii="Times New Roman" w:hAnsi="Times New Roman" w:cs="Times New Roman"/>
          <w:sz w:val="26"/>
          <w:szCs w:val="26"/>
        </w:rPr>
        <w:t xml:space="preserve">. A private nuisance is an (invasion of or) </w:t>
      </w:r>
      <w:proofErr w:type="gramStart"/>
      <w:r w:rsidRPr="00155E54">
        <w:rPr>
          <w:rFonts w:ascii="Times New Roman" w:hAnsi="Times New Roman" w:cs="Times New Roman"/>
          <w:sz w:val="26"/>
          <w:szCs w:val="26"/>
        </w:rPr>
        <w:t>interference</w:t>
      </w:r>
      <w:proofErr w:type="gramEnd"/>
      <w:r w:rsidRPr="00155E54">
        <w:rPr>
          <w:rFonts w:ascii="Times New Roman" w:hAnsi="Times New Roman" w:cs="Times New Roman"/>
          <w:sz w:val="26"/>
          <w:szCs w:val="26"/>
        </w:rPr>
        <w:t xml:space="preserve"> with (</w:t>
      </w:r>
      <w:r w:rsidRPr="00155E54">
        <w:rPr>
          <w:rFonts w:ascii="Times New Roman" w:hAnsi="Times New Roman" w:cs="Times New Roman"/>
          <w:sz w:val="26"/>
          <w:szCs w:val="26"/>
          <w:u w:val="single"/>
        </w:rPr>
        <w:t>plaintiff</w:t>
      </w:r>
      <w:r w:rsidR="00F068F6" w:rsidRPr="00155E54">
        <w:rPr>
          <w:rFonts w:ascii="Times New Roman" w:hAnsi="Times New Roman" w:cs="Times New Roman"/>
          <w:sz w:val="26"/>
          <w:szCs w:val="26"/>
          <w:u w:val="single"/>
        </w:rPr>
        <w:t>’</w:t>
      </w:r>
      <w:r w:rsidRPr="00155E54">
        <w:rPr>
          <w:rFonts w:ascii="Times New Roman" w:hAnsi="Times New Roman" w:cs="Times New Roman"/>
          <w:sz w:val="26"/>
          <w:szCs w:val="26"/>
          <w:u w:val="single"/>
        </w:rPr>
        <w:t>s</w:t>
      </w:r>
      <w:r w:rsidRPr="00155E54">
        <w:rPr>
          <w:rFonts w:ascii="Times New Roman" w:hAnsi="Times New Roman" w:cs="Times New Roman"/>
          <w:sz w:val="26"/>
          <w:szCs w:val="26"/>
        </w:rPr>
        <w:t>) interest in the private use and enjoyment of (his) (her) (their) land.</w:t>
      </w:r>
      <w:r w:rsidRPr="00155E54">
        <w:rPr>
          <w:rFonts w:ascii="Times New Roman" w:hAnsi="Times New Roman" w:cs="Times New Roman"/>
          <w:sz w:val="26"/>
          <w:szCs w:val="26"/>
          <w:vertAlign w:val="superscript"/>
        </w:rPr>
        <w:t>3</w:t>
      </w:r>
    </w:p>
    <w:p w:rsidR="00996DDC" w:rsidRPr="00155E54" w:rsidRDefault="00996DDC" w:rsidP="00C24F29">
      <w:pPr>
        <w:pStyle w:val="NoSpacing"/>
        <w:spacing w:line="480" w:lineRule="auto"/>
        <w:ind w:firstLine="450"/>
        <w:jc w:val="both"/>
        <w:rPr>
          <w:rFonts w:ascii="Times New Roman" w:hAnsi="Times New Roman" w:cs="Times New Roman"/>
          <w:sz w:val="26"/>
          <w:szCs w:val="26"/>
        </w:rPr>
      </w:pPr>
      <w:r w:rsidRPr="00155E54">
        <w:rPr>
          <w:rFonts w:ascii="Times New Roman" w:hAnsi="Times New Roman" w:cs="Times New Roman"/>
          <w:sz w:val="26"/>
          <w:szCs w:val="26"/>
        </w:rPr>
        <w:t>Second, the (invasion or) interference resulted in significant harm.</w:t>
      </w:r>
      <w:r w:rsidRPr="00155E54">
        <w:rPr>
          <w:rFonts w:ascii="Times New Roman" w:hAnsi="Times New Roman" w:cs="Times New Roman"/>
          <w:sz w:val="26"/>
          <w:szCs w:val="26"/>
          <w:vertAlign w:val="superscript"/>
        </w:rPr>
        <w:t>4</w:t>
      </w:r>
      <w:r w:rsidRPr="00155E54">
        <w:rPr>
          <w:rFonts w:ascii="Times New Roman" w:hAnsi="Times New Roman" w:cs="Times New Roman"/>
          <w:sz w:val="26"/>
          <w:szCs w:val="26"/>
        </w:rPr>
        <w:t xml:space="preserve"> </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Significant harm</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 xml:space="preserve"> means harm involving more than a slight inconvenience or petty annoyance. When the interference involves personal discomfort or annoyance, it is sometimes difficult to determine whether the (invasion or) interference is significant. If ordinary persons living in the community would regard the (invasion or) interference as substantially offensive, seriously annoying or intolerable, then the (invasion or) interference is significant. If not, then the (invasion or) interference is not significant. Rights and privileges to use and enjoy land are based on the general standards of ordinary persons in the community and not on the standards of persons who are more sensitive than ordinary </w:t>
      </w:r>
      <w:proofErr w:type="gramStart"/>
      <w:r w:rsidRPr="00155E54">
        <w:rPr>
          <w:rFonts w:ascii="Times New Roman" w:hAnsi="Times New Roman" w:cs="Times New Roman"/>
          <w:sz w:val="26"/>
          <w:szCs w:val="26"/>
        </w:rPr>
        <w:t>persons</w:t>
      </w:r>
      <w:proofErr w:type="gramEnd"/>
      <w:r w:rsidRPr="00155E54">
        <w:rPr>
          <w:rFonts w:ascii="Times New Roman" w:hAnsi="Times New Roman" w:cs="Times New Roman"/>
          <w:sz w:val="26"/>
          <w:szCs w:val="26"/>
        </w:rPr>
        <w:t>.</w:t>
      </w:r>
    </w:p>
    <w:p w:rsidR="00996DDC" w:rsidRPr="00155E54" w:rsidRDefault="00996DDC" w:rsidP="00C24F29">
      <w:pPr>
        <w:pStyle w:val="NoSpacing"/>
        <w:spacing w:line="480" w:lineRule="auto"/>
        <w:ind w:firstLine="450"/>
        <w:jc w:val="both"/>
        <w:rPr>
          <w:rFonts w:ascii="Times New Roman" w:hAnsi="Times New Roman" w:cs="Times New Roman"/>
          <w:sz w:val="26"/>
          <w:szCs w:val="26"/>
        </w:rPr>
      </w:pPr>
      <w:r w:rsidRPr="00155E54">
        <w:rPr>
          <w:rFonts w:ascii="Times New Roman" w:hAnsi="Times New Roman" w:cs="Times New Roman"/>
          <w:sz w:val="26"/>
          <w:szCs w:val="26"/>
        </w:rPr>
        <w:t>Third, (</w:t>
      </w:r>
      <w:r w:rsidRPr="00155E54">
        <w:rPr>
          <w:rFonts w:ascii="Times New Roman" w:hAnsi="Times New Roman" w:cs="Times New Roman"/>
          <w:sz w:val="26"/>
          <w:szCs w:val="26"/>
          <w:u w:val="single"/>
        </w:rPr>
        <w:t>defendant</w:t>
      </w:r>
      <w:r w:rsidRPr="00155E54">
        <w:rPr>
          <w:rFonts w:ascii="Times New Roman" w:hAnsi="Times New Roman" w:cs="Times New Roman"/>
          <w:sz w:val="26"/>
          <w:szCs w:val="26"/>
        </w:rPr>
        <w:t>) intentionally caused the private nuisance. A person</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s conduct caused the private nuisance if it was a substantial factor in producing the nuisance.</w:t>
      </w: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 xml:space="preserve">A nuisance is intentional if the person acts </w:t>
      </w:r>
      <w:proofErr w:type="gramStart"/>
      <w:r w:rsidRPr="00155E54">
        <w:rPr>
          <w:rFonts w:ascii="Times New Roman" w:hAnsi="Times New Roman" w:cs="Times New Roman"/>
          <w:sz w:val="26"/>
          <w:szCs w:val="26"/>
        </w:rPr>
        <w:t>for the purpose of</w:t>
      </w:r>
      <w:proofErr w:type="gramEnd"/>
      <w:r w:rsidRPr="00155E54">
        <w:rPr>
          <w:rFonts w:ascii="Times New Roman" w:hAnsi="Times New Roman" w:cs="Times New Roman"/>
          <w:sz w:val="26"/>
          <w:szCs w:val="26"/>
        </w:rPr>
        <w:t xml:space="preserve"> causing the nuisance or knows that the nuisance is resulting or is substantially certain to result from the person</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s conduct.</w:t>
      </w:r>
      <w:r w:rsidRPr="00155E54">
        <w:rPr>
          <w:rFonts w:ascii="Times New Roman" w:hAnsi="Times New Roman" w:cs="Times New Roman"/>
          <w:sz w:val="26"/>
          <w:szCs w:val="26"/>
          <w:vertAlign w:val="superscript"/>
        </w:rPr>
        <w:t>5</w:t>
      </w:r>
    </w:p>
    <w:p w:rsidR="00996DDC" w:rsidRPr="00155E54" w:rsidRDefault="00996DDC" w:rsidP="00C24F29">
      <w:pPr>
        <w:pStyle w:val="NoSpacing"/>
        <w:spacing w:line="480" w:lineRule="auto"/>
        <w:ind w:firstLine="450"/>
        <w:jc w:val="both"/>
        <w:rPr>
          <w:rFonts w:ascii="Times New Roman" w:hAnsi="Times New Roman" w:cs="Times New Roman"/>
          <w:sz w:val="26"/>
          <w:szCs w:val="26"/>
        </w:rPr>
      </w:pPr>
      <w:r w:rsidRPr="00155E54">
        <w:rPr>
          <w:rFonts w:ascii="Times New Roman" w:hAnsi="Times New Roman" w:cs="Times New Roman"/>
          <w:sz w:val="26"/>
          <w:szCs w:val="26"/>
        </w:rPr>
        <w:t>Fourth, (defendant</w:t>
      </w:r>
      <w:r w:rsidR="003736B7" w:rsidRPr="00155E54">
        <w:rPr>
          <w:rFonts w:ascii="Times New Roman" w:hAnsi="Times New Roman" w:cs="Times New Roman"/>
          <w:sz w:val="26"/>
          <w:szCs w:val="26"/>
        </w:rPr>
        <w:t>’</w:t>
      </w:r>
      <w:r w:rsidRPr="00155E54">
        <w:rPr>
          <w:rFonts w:ascii="Times New Roman" w:hAnsi="Times New Roman" w:cs="Times New Roman"/>
          <w:sz w:val="26"/>
          <w:szCs w:val="26"/>
        </w:rPr>
        <w:t>s) conduct in causing the nuisance was unreasonable.</w:t>
      </w:r>
      <w:r w:rsidRPr="00155E54">
        <w:rPr>
          <w:rFonts w:ascii="Times New Roman" w:hAnsi="Times New Roman" w:cs="Times New Roman"/>
          <w:sz w:val="26"/>
          <w:szCs w:val="26"/>
          <w:vertAlign w:val="superscript"/>
        </w:rPr>
        <w:t>6</w:t>
      </w:r>
      <w:r w:rsidRPr="00155E54">
        <w:rPr>
          <w:rFonts w:ascii="Times New Roman" w:hAnsi="Times New Roman" w:cs="Times New Roman"/>
          <w:sz w:val="26"/>
          <w:szCs w:val="26"/>
        </w:rPr>
        <w:t xml:space="preserve"> </w:t>
      </w:r>
      <w:proofErr w:type="gramStart"/>
      <w:r w:rsidRPr="00155E54">
        <w:rPr>
          <w:rFonts w:ascii="Times New Roman" w:hAnsi="Times New Roman" w:cs="Times New Roman"/>
          <w:sz w:val="26"/>
          <w:szCs w:val="26"/>
        </w:rPr>
        <w:t>An</w:t>
      </w:r>
      <w:proofErr w:type="gramEnd"/>
      <w:r w:rsidRPr="00155E54">
        <w:rPr>
          <w:rFonts w:ascii="Times New Roman" w:hAnsi="Times New Roman" w:cs="Times New Roman"/>
          <w:sz w:val="26"/>
          <w:szCs w:val="26"/>
        </w:rPr>
        <w:t xml:space="preserve"> </w:t>
      </w:r>
      <w:r w:rsidR="00F068F6" w:rsidRPr="00155E54">
        <w:rPr>
          <w:rFonts w:ascii="Times New Roman" w:hAnsi="Times New Roman" w:cs="Times New Roman"/>
          <w:sz w:val="26"/>
          <w:szCs w:val="26"/>
        </w:rPr>
        <w:lastRenderedPageBreak/>
        <w:t>intentional invasion of another’</w:t>
      </w:r>
      <w:r w:rsidRPr="00155E54">
        <w:rPr>
          <w:rFonts w:ascii="Times New Roman" w:hAnsi="Times New Roman" w:cs="Times New Roman"/>
          <w:sz w:val="26"/>
          <w:szCs w:val="26"/>
        </w:rPr>
        <w:t>s interest in the use and enjoyment of land is unreasonable if:</w:t>
      </w: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 xml:space="preserve">(a) </w:t>
      </w:r>
      <w:proofErr w:type="gramStart"/>
      <w:r w:rsidRPr="00155E54">
        <w:rPr>
          <w:rFonts w:ascii="Times New Roman" w:hAnsi="Times New Roman" w:cs="Times New Roman"/>
          <w:sz w:val="26"/>
          <w:szCs w:val="26"/>
        </w:rPr>
        <w:t>the</w:t>
      </w:r>
      <w:proofErr w:type="gramEnd"/>
      <w:r w:rsidRPr="00155E54">
        <w:rPr>
          <w:rFonts w:ascii="Times New Roman" w:hAnsi="Times New Roman" w:cs="Times New Roman"/>
          <w:sz w:val="26"/>
          <w:szCs w:val="26"/>
        </w:rPr>
        <w:t xml:space="preserve"> gravity of the harm out</w:t>
      </w:r>
      <w:r w:rsidR="00F068F6" w:rsidRPr="00155E54">
        <w:rPr>
          <w:rFonts w:ascii="Times New Roman" w:hAnsi="Times New Roman" w:cs="Times New Roman"/>
          <w:sz w:val="26"/>
          <w:szCs w:val="26"/>
        </w:rPr>
        <w:t>weighs the utility of the actor’</w:t>
      </w:r>
      <w:r w:rsidRPr="00155E54">
        <w:rPr>
          <w:rFonts w:ascii="Times New Roman" w:hAnsi="Times New Roman" w:cs="Times New Roman"/>
          <w:sz w:val="26"/>
          <w:szCs w:val="26"/>
        </w:rPr>
        <w:t>s conduct, or</w:t>
      </w: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 xml:space="preserve">(b) </w:t>
      </w:r>
      <w:proofErr w:type="gramStart"/>
      <w:r w:rsidRPr="00155E54">
        <w:rPr>
          <w:rFonts w:ascii="Times New Roman" w:hAnsi="Times New Roman" w:cs="Times New Roman"/>
          <w:sz w:val="26"/>
          <w:szCs w:val="26"/>
        </w:rPr>
        <w:t>the</w:t>
      </w:r>
      <w:proofErr w:type="gramEnd"/>
      <w:r w:rsidRPr="00155E54">
        <w:rPr>
          <w:rFonts w:ascii="Times New Roman" w:hAnsi="Times New Roman" w:cs="Times New Roman"/>
          <w:sz w:val="26"/>
          <w:szCs w:val="26"/>
        </w:rPr>
        <w:t xml:space="preserve"> harm caused by the conduct is serious and the cost of compensating for this and similar harm to others would still make it feasible for (</w:t>
      </w:r>
      <w:r w:rsidRPr="00155E54">
        <w:rPr>
          <w:rFonts w:ascii="Times New Roman" w:hAnsi="Times New Roman" w:cs="Times New Roman"/>
          <w:sz w:val="26"/>
          <w:szCs w:val="26"/>
          <w:u w:val="single"/>
        </w:rPr>
        <w:t>defendant</w:t>
      </w:r>
      <w:r w:rsidRPr="00155E54">
        <w:rPr>
          <w:rFonts w:ascii="Times New Roman" w:hAnsi="Times New Roman" w:cs="Times New Roman"/>
          <w:sz w:val="26"/>
          <w:szCs w:val="26"/>
        </w:rPr>
        <w:t>) to continue the conduct.</w:t>
      </w:r>
      <w:r w:rsidRPr="00155E54">
        <w:rPr>
          <w:rFonts w:ascii="Times New Roman" w:hAnsi="Times New Roman" w:cs="Times New Roman"/>
          <w:sz w:val="26"/>
          <w:szCs w:val="26"/>
          <w:vertAlign w:val="superscript"/>
        </w:rPr>
        <w:t>7</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b/>
          <w:bCs/>
          <w:sz w:val="26"/>
          <w:szCs w:val="26"/>
        </w:rPr>
      </w:pPr>
      <w:r w:rsidRPr="00155E54">
        <w:rPr>
          <w:rFonts w:ascii="Times New Roman" w:hAnsi="Times New Roman" w:cs="Times New Roman"/>
          <w:b/>
          <w:bCs/>
          <w:sz w:val="26"/>
          <w:szCs w:val="26"/>
        </w:rPr>
        <w:t>VERDICT</w:t>
      </w: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bCs/>
          <w:sz w:val="26"/>
          <w:szCs w:val="26"/>
        </w:rPr>
        <w:t>Question No. 1</w:t>
      </w:r>
      <w:r w:rsidRPr="00155E54">
        <w:rPr>
          <w:rFonts w:ascii="Times New Roman" w:hAnsi="Times New Roman" w:cs="Times New Roman"/>
          <w:sz w:val="26"/>
          <w:szCs w:val="26"/>
        </w:rPr>
        <w:t>: Did [Does] a private nuisance exist?</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ANSWER: _________</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(Yes/No)</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bCs/>
          <w:sz w:val="26"/>
          <w:szCs w:val="26"/>
        </w:rPr>
        <w:t>Question No. 2</w:t>
      </w:r>
      <w:r w:rsidRPr="00155E54">
        <w:rPr>
          <w:rFonts w:ascii="Times New Roman" w:hAnsi="Times New Roman" w:cs="Times New Roman"/>
          <w:sz w:val="26"/>
          <w:szCs w:val="26"/>
        </w:rPr>
        <w:t xml:space="preserve">: If you answered </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Yes</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 xml:space="preserve"> to Question 1, then answer this question:</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Did the nuisance result in significant harm to (</w:t>
      </w:r>
      <w:r w:rsidRPr="00155E54">
        <w:rPr>
          <w:rFonts w:ascii="Times New Roman" w:hAnsi="Times New Roman" w:cs="Times New Roman"/>
          <w:sz w:val="26"/>
          <w:szCs w:val="26"/>
          <w:u w:val="single"/>
        </w:rPr>
        <w:t>plaintiff</w:t>
      </w:r>
      <w:r w:rsidRPr="00155E54">
        <w:rPr>
          <w:rFonts w:ascii="Times New Roman" w:hAnsi="Times New Roman" w:cs="Times New Roman"/>
          <w:sz w:val="26"/>
          <w:szCs w:val="26"/>
        </w:rPr>
        <w:t>)</w:t>
      </w:r>
      <w:proofErr w:type="gramStart"/>
      <w:r w:rsidRPr="00155E54">
        <w:rPr>
          <w:rFonts w:ascii="Times New Roman" w:hAnsi="Times New Roman" w:cs="Times New Roman"/>
          <w:sz w:val="26"/>
          <w:szCs w:val="26"/>
        </w:rPr>
        <w:t>?</w:t>
      </w:r>
      <w:r w:rsidRPr="00155E54">
        <w:rPr>
          <w:rFonts w:ascii="Times New Roman" w:hAnsi="Times New Roman" w:cs="Times New Roman"/>
          <w:sz w:val="26"/>
          <w:szCs w:val="26"/>
          <w:vertAlign w:val="superscript"/>
        </w:rPr>
        <w:t>8</w:t>
      </w:r>
      <w:proofErr w:type="gramEnd"/>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ANSWER: _________</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(Yes/No)</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bCs/>
          <w:sz w:val="26"/>
          <w:szCs w:val="26"/>
        </w:rPr>
        <w:t>Question No. 3:</w:t>
      </w:r>
      <w:r w:rsidRPr="00155E54">
        <w:rPr>
          <w:rFonts w:ascii="Times New Roman" w:hAnsi="Times New Roman" w:cs="Times New Roman"/>
          <w:sz w:val="26"/>
          <w:szCs w:val="26"/>
        </w:rPr>
        <w:t xml:space="preserve"> If you answered </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Yes</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 xml:space="preserve"> to Question 2, then answer this question: </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Did (</w:t>
      </w:r>
      <w:r w:rsidRPr="00155E54">
        <w:rPr>
          <w:rFonts w:ascii="Times New Roman" w:hAnsi="Times New Roman" w:cs="Times New Roman"/>
          <w:sz w:val="26"/>
          <w:szCs w:val="26"/>
          <w:u w:val="single"/>
        </w:rPr>
        <w:t>defendant</w:t>
      </w:r>
      <w:r w:rsidRPr="00155E54">
        <w:rPr>
          <w:rFonts w:ascii="Times New Roman" w:hAnsi="Times New Roman" w:cs="Times New Roman"/>
          <w:sz w:val="26"/>
          <w:szCs w:val="26"/>
        </w:rPr>
        <w:t>) intentionally cause the private nuisance?</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lastRenderedPageBreak/>
        <w:t>ANSWER: _________</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(Yes/No)</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bCs/>
          <w:sz w:val="26"/>
          <w:szCs w:val="26"/>
        </w:rPr>
        <w:t>Question No. 4:</w:t>
      </w:r>
      <w:r w:rsidRPr="00155E54">
        <w:rPr>
          <w:rFonts w:ascii="Times New Roman" w:hAnsi="Times New Roman" w:cs="Times New Roman"/>
          <w:sz w:val="26"/>
          <w:szCs w:val="26"/>
        </w:rPr>
        <w:t xml:space="preserve">  If you answered </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Yes</w:t>
      </w:r>
      <w:r w:rsidR="00F068F6" w:rsidRPr="00155E54">
        <w:rPr>
          <w:rFonts w:ascii="Times New Roman" w:hAnsi="Times New Roman" w:cs="Times New Roman"/>
          <w:sz w:val="26"/>
          <w:szCs w:val="26"/>
        </w:rPr>
        <w:t>”</w:t>
      </w:r>
      <w:r w:rsidRPr="00155E54">
        <w:rPr>
          <w:rFonts w:ascii="Times New Roman" w:hAnsi="Times New Roman" w:cs="Times New Roman"/>
          <w:sz w:val="26"/>
          <w:szCs w:val="26"/>
        </w:rPr>
        <w:t xml:space="preserve"> to Question 3, then answer this question: </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Was (</w:t>
      </w:r>
      <w:r w:rsidRPr="00155E54">
        <w:rPr>
          <w:rFonts w:ascii="Times New Roman" w:hAnsi="Times New Roman" w:cs="Times New Roman"/>
          <w:sz w:val="26"/>
          <w:szCs w:val="26"/>
          <w:u w:val="single"/>
        </w:rPr>
        <w:t>defendant</w:t>
      </w:r>
      <w:r w:rsidR="00F068F6" w:rsidRPr="00155E54">
        <w:rPr>
          <w:rFonts w:ascii="Times New Roman" w:hAnsi="Times New Roman" w:cs="Times New Roman"/>
          <w:sz w:val="26"/>
          <w:szCs w:val="26"/>
          <w:u w:val="single"/>
        </w:rPr>
        <w:t>’</w:t>
      </w:r>
      <w:r w:rsidRPr="00155E54">
        <w:rPr>
          <w:rFonts w:ascii="Times New Roman" w:hAnsi="Times New Roman" w:cs="Times New Roman"/>
          <w:sz w:val="26"/>
          <w:szCs w:val="26"/>
          <w:u w:val="single"/>
        </w:rPr>
        <w:t>s</w:t>
      </w:r>
      <w:r w:rsidRPr="00155E54">
        <w:rPr>
          <w:rFonts w:ascii="Times New Roman" w:hAnsi="Times New Roman" w:cs="Times New Roman"/>
          <w:sz w:val="26"/>
          <w:szCs w:val="26"/>
        </w:rPr>
        <w:t>) conduct in causing the nuisance unreasonable?</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ANSWER: _________</w:t>
      </w: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(Yes/No)</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bCs/>
          <w:sz w:val="26"/>
          <w:szCs w:val="26"/>
        </w:rPr>
        <w:t>Question No. 5</w:t>
      </w:r>
      <w:r w:rsidRPr="00155E54">
        <w:rPr>
          <w:rFonts w:ascii="Times New Roman" w:hAnsi="Times New Roman" w:cs="Times New Roman"/>
          <w:sz w:val="26"/>
          <w:szCs w:val="26"/>
        </w:rPr>
        <w:t>: Regardless of how you answered any of the other questions, answer this question:</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t>What sum of money will reasonably compensate (</w:t>
      </w:r>
      <w:r w:rsidRPr="00155E54">
        <w:rPr>
          <w:rFonts w:ascii="Times New Roman" w:hAnsi="Times New Roman" w:cs="Times New Roman"/>
          <w:sz w:val="26"/>
          <w:szCs w:val="26"/>
          <w:u w:val="single"/>
        </w:rPr>
        <w:t>plaintiff</w:t>
      </w:r>
      <w:r w:rsidRPr="00155E54">
        <w:rPr>
          <w:rFonts w:ascii="Times New Roman" w:hAnsi="Times New Roman" w:cs="Times New Roman"/>
          <w:sz w:val="26"/>
          <w:szCs w:val="26"/>
        </w:rPr>
        <w:t>) for harm suffered?</w:t>
      </w:r>
    </w:p>
    <w:p w:rsidR="00996DDC" w:rsidRPr="00155E54" w:rsidRDefault="00996DDC" w:rsidP="00C24F29">
      <w:pPr>
        <w:pStyle w:val="NoSpacing"/>
        <w:spacing w:line="480" w:lineRule="auto"/>
        <w:jc w:val="both"/>
        <w:rPr>
          <w:rFonts w:ascii="Times New Roman" w:hAnsi="Times New Roman" w:cs="Times New Roman"/>
          <w:sz w:val="26"/>
          <w:szCs w:val="26"/>
        </w:rPr>
      </w:pPr>
    </w:p>
    <w:p w:rsidR="00996DDC" w:rsidRPr="00155E54" w:rsidRDefault="00996DDC" w:rsidP="00C24F29">
      <w:pPr>
        <w:pStyle w:val="NoSpacing"/>
        <w:spacing w:line="480" w:lineRule="auto"/>
        <w:jc w:val="right"/>
        <w:rPr>
          <w:rFonts w:ascii="Times New Roman" w:hAnsi="Times New Roman" w:cs="Times New Roman"/>
          <w:sz w:val="26"/>
          <w:szCs w:val="26"/>
        </w:rPr>
      </w:pPr>
      <w:r w:rsidRPr="00155E54">
        <w:rPr>
          <w:rFonts w:ascii="Times New Roman" w:hAnsi="Times New Roman" w:cs="Times New Roman"/>
          <w:sz w:val="26"/>
          <w:szCs w:val="26"/>
        </w:rPr>
        <w:tab/>
        <w:t>ANSWER: $_____________</w:t>
      </w:r>
    </w:p>
    <w:p w:rsidR="00996DDC" w:rsidRPr="00155E54" w:rsidRDefault="00996DDC" w:rsidP="00C24F29">
      <w:pPr>
        <w:pStyle w:val="NoSpacing"/>
        <w:spacing w:line="480" w:lineRule="auto"/>
        <w:jc w:val="both"/>
        <w:rPr>
          <w:rFonts w:ascii="Times New Roman" w:hAnsi="Times New Roman" w:cs="Times New Roman"/>
          <w:sz w:val="26"/>
          <w:szCs w:val="26"/>
        </w:rPr>
      </w:pPr>
      <w:r w:rsidRPr="00155E54">
        <w:rPr>
          <w:rFonts w:ascii="Times New Roman" w:hAnsi="Times New Roman" w:cs="Times New Roman"/>
          <w:sz w:val="26"/>
          <w:szCs w:val="26"/>
        </w:rPr>
        <w:fldChar w:fldCharType="begin"/>
      </w:r>
      <w:r w:rsidRPr="00155E54">
        <w:rPr>
          <w:rFonts w:ascii="Times New Roman" w:hAnsi="Times New Roman" w:cs="Times New Roman"/>
          <w:sz w:val="26"/>
          <w:szCs w:val="26"/>
        </w:rPr>
        <w:instrText>ADVANCE \u4</w:instrText>
      </w:r>
      <w:r w:rsidRPr="00155E54">
        <w:rPr>
          <w:rFonts w:ascii="Times New Roman" w:hAnsi="Times New Roman" w:cs="Times New Roman"/>
          <w:sz w:val="26"/>
          <w:szCs w:val="26"/>
        </w:rPr>
        <w:fldChar w:fldCharType="end"/>
      </w:r>
    </w:p>
    <w:p w:rsidR="00996DDC" w:rsidRPr="00155E54" w:rsidRDefault="00996DDC" w:rsidP="00F068F6">
      <w:pPr>
        <w:pStyle w:val="NoSpacing"/>
        <w:jc w:val="both"/>
        <w:rPr>
          <w:rFonts w:ascii="Times New Roman" w:hAnsi="Times New Roman" w:cs="Times New Roman"/>
          <w:sz w:val="26"/>
          <w:szCs w:val="26"/>
        </w:rPr>
      </w:pPr>
    </w:p>
    <w:p w:rsidR="00C24F29" w:rsidRPr="00155E54" w:rsidRDefault="00C24F29" w:rsidP="00F068F6">
      <w:pPr>
        <w:pStyle w:val="NoSpacing"/>
        <w:jc w:val="both"/>
        <w:rPr>
          <w:rFonts w:ascii="Times New Roman" w:hAnsi="Times New Roman" w:cs="Times New Roman"/>
          <w:sz w:val="26"/>
          <w:szCs w:val="26"/>
        </w:rPr>
      </w:pPr>
    </w:p>
    <w:p w:rsidR="00C24F29" w:rsidRPr="00155E54" w:rsidRDefault="00C24F29" w:rsidP="00F068F6">
      <w:pPr>
        <w:pStyle w:val="NoSpacing"/>
        <w:jc w:val="both"/>
        <w:rPr>
          <w:rFonts w:ascii="Times New Roman" w:hAnsi="Times New Roman" w:cs="Times New Roman"/>
          <w:sz w:val="26"/>
          <w:szCs w:val="26"/>
        </w:rPr>
      </w:pPr>
    </w:p>
    <w:p w:rsidR="00996DDC" w:rsidRPr="00155E54" w:rsidRDefault="00996DDC" w:rsidP="00F068F6">
      <w:pPr>
        <w:pStyle w:val="NoSpacing"/>
        <w:jc w:val="both"/>
        <w:rPr>
          <w:rFonts w:ascii="Times New Roman" w:hAnsi="Times New Roman" w:cs="Times New Roman"/>
          <w:b/>
          <w:bCs/>
          <w:sz w:val="22"/>
          <w:szCs w:val="22"/>
        </w:rPr>
      </w:pPr>
      <w:r w:rsidRPr="00155E54">
        <w:rPr>
          <w:rFonts w:ascii="Times New Roman" w:hAnsi="Times New Roman" w:cs="Times New Roman"/>
          <w:b/>
          <w:bCs/>
          <w:sz w:val="22"/>
          <w:szCs w:val="22"/>
        </w:rPr>
        <w:t>NOTES</w:t>
      </w:r>
    </w:p>
    <w:p w:rsidR="00996DDC" w:rsidRPr="00155E54" w:rsidRDefault="00996DDC" w:rsidP="00F068F6">
      <w:pPr>
        <w:pStyle w:val="NoSpacing"/>
        <w:jc w:val="both"/>
        <w:rPr>
          <w:rFonts w:ascii="Times New Roman" w:hAnsi="Times New Roman" w:cs="Times New Roman"/>
          <w:sz w:val="22"/>
          <w:szCs w:val="22"/>
        </w:rPr>
      </w:pPr>
    </w:p>
    <w:p w:rsidR="00F068F6" w:rsidRPr="00155E54" w:rsidRDefault="00996DDC"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i/>
          <w:iCs/>
          <w:sz w:val="22"/>
          <w:szCs w:val="22"/>
        </w:rPr>
        <w:t>See</w:t>
      </w:r>
      <w:r w:rsidRPr="00155E54">
        <w:rPr>
          <w:rFonts w:ascii="Times New Roman" w:hAnsi="Times New Roman" w:cs="Times New Roman"/>
          <w:sz w:val="22"/>
          <w:szCs w:val="22"/>
        </w:rPr>
        <w:t>, JI 1920 Law Note for Trial Judges before selecting the appropriate Nuisance jury instruction.</w:t>
      </w:r>
    </w:p>
    <w:p w:rsidR="00F068F6" w:rsidRPr="00155E54" w:rsidRDefault="00F068F6" w:rsidP="00F068F6">
      <w:pPr>
        <w:pStyle w:val="NoSpacing"/>
        <w:tabs>
          <w:tab w:val="left" w:pos="900"/>
        </w:tabs>
        <w:ind w:left="450"/>
        <w:jc w:val="both"/>
        <w:rPr>
          <w:rFonts w:ascii="Times New Roman" w:eastAsia="PMingLiU" w:hAnsi="Times New Roman" w:cs="Times New Roman"/>
          <w:sz w:val="22"/>
          <w:szCs w:val="22"/>
        </w:rPr>
      </w:pPr>
    </w:p>
    <w:p w:rsidR="00F068F6" w:rsidRPr="00155E54" w:rsidRDefault="00996DDC"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t>Insert appropriate tense depending on the facts of the case.</w:t>
      </w:r>
    </w:p>
    <w:p w:rsidR="00F068F6" w:rsidRPr="00155E54" w:rsidRDefault="00F068F6" w:rsidP="00F068F6">
      <w:pPr>
        <w:pStyle w:val="NoSpacing"/>
        <w:tabs>
          <w:tab w:val="left" w:pos="900"/>
        </w:tabs>
        <w:ind w:left="450"/>
        <w:jc w:val="both"/>
        <w:rPr>
          <w:rFonts w:ascii="Times New Roman" w:eastAsia="PMingLiU" w:hAnsi="Times New Roman" w:cs="Times New Roman"/>
          <w:sz w:val="22"/>
          <w:szCs w:val="22"/>
        </w:rPr>
      </w:pPr>
    </w:p>
    <w:p w:rsidR="00996DDC" w:rsidRPr="00155E54" w:rsidRDefault="00F068F6"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lastRenderedPageBreak/>
        <w:t>“</w:t>
      </w:r>
      <w:r w:rsidR="00996DDC" w:rsidRPr="00155E54">
        <w:rPr>
          <w:rFonts w:ascii="Times New Roman" w:hAnsi="Times New Roman" w:cs="Times New Roman"/>
          <w:sz w:val="22"/>
          <w:szCs w:val="22"/>
        </w:rPr>
        <w:t>Wisconsin has explicitly adopted the definition of private nuisance found in the Restatement (Second) of Torts, § 821. (</w:t>
      </w:r>
      <w:proofErr w:type="gramStart"/>
      <w:r w:rsidR="00996DDC" w:rsidRPr="00155E54">
        <w:rPr>
          <w:rFonts w:ascii="Times New Roman" w:hAnsi="Times New Roman" w:cs="Times New Roman"/>
          <w:sz w:val="22"/>
          <w:szCs w:val="22"/>
        </w:rPr>
        <w:t>citations</w:t>
      </w:r>
      <w:proofErr w:type="gramEnd"/>
      <w:r w:rsidR="00996DDC" w:rsidRPr="00155E54">
        <w:rPr>
          <w:rFonts w:ascii="Times New Roman" w:hAnsi="Times New Roman" w:cs="Times New Roman"/>
          <w:sz w:val="22"/>
          <w:szCs w:val="22"/>
        </w:rPr>
        <w:t xml:space="preserve"> omitted).</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w:t>
      </w:r>
      <w:r w:rsidR="00996DDC" w:rsidRPr="00155E54">
        <w:rPr>
          <w:rFonts w:ascii="Times New Roman" w:hAnsi="Times New Roman" w:cs="Times New Roman"/>
          <w:iCs/>
          <w:sz w:val="22"/>
          <w:szCs w:val="22"/>
          <w:u w:val="single"/>
        </w:rPr>
        <w:t>Milwaukee Metropolitan Sewerage District v. City of Milwaukee</w:t>
      </w:r>
      <w:r w:rsidR="00996DDC" w:rsidRPr="00155E54">
        <w:rPr>
          <w:rFonts w:ascii="Times New Roman" w:hAnsi="Times New Roman" w:cs="Times New Roman"/>
          <w:sz w:val="22"/>
          <w:szCs w:val="22"/>
        </w:rPr>
        <w:t xml:space="preserve">, 277 Wis.2d 635, 656 [footnote </w:t>
      </w:r>
      <w:proofErr w:type="gramStart"/>
      <w:r w:rsidR="00996DDC" w:rsidRPr="00155E54">
        <w:rPr>
          <w:rFonts w:ascii="Times New Roman" w:hAnsi="Times New Roman" w:cs="Times New Roman"/>
          <w:sz w:val="22"/>
          <w:szCs w:val="22"/>
        </w:rPr>
        <w:t>4</w:t>
      </w:r>
      <w:proofErr w:type="gramEnd"/>
      <w:r w:rsidR="00996DDC" w:rsidRPr="00155E54">
        <w:rPr>
          <w:rFonts w:ascii="Times New Roman" w:hAnsi="Times New Roman" w:cs="Times New Roman"/>
          <w:sz w:val="22"/>
          <w:szCs w:val="22"/>
        </w:rPr>
        <w:t xml:space="preserve">] (2005). The Restatement defines </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private nuisance</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as follows: </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A private nuisance is a </w:t>
      </w:r>
      <w:proofErr w:type="spellStart"/>
      <w:r w:rsidR="00996DDC" w:rsidRPr="00155E54">
        <w:rPr>
          <w:rFonts w:ascii="Times New Roman" w:hAnsi="Times New Roman" w:cs="Times New Roman"/>
          <w:sz w:val="22"/>
          <w:szCs w:val="22"/>
        </w:rPr>
        <w:t>non</w:t>
      </w:r>
      <w:r w:rsidRPr="00155E54">
        <w:rPr>
          <w:rFonts w:ascii="Times New Roman" w:hAnsi="Times New Roman" w:cs="Times New Roman"/>
          <w:sz w:val="22"/>
          <w:szCs w:val="22"/>
        </w:rPr>
        <w:t>trespassory</w:t>
      </w:r>
      <w:proofErr w:type="spellEnd"/>
      <w:r w:rsidRPr="00155E54">
        <w:rPr>
          <w:rFonts w:ascii="Times New Roman" w:hAnsi="Times New Roman" w:cs="Times New Roman"/>
          <w:sz w:val="22"/>
          <w:szCs w:val="22"/>
        </w:rPr>
        <w:t xml:space="preserve"> invasion of another’</w:t>
      </w:r>
      <w:r w:rsidR="00996DDC" w:rsidRPr="00155E54">
        <w:rPr>
          <w:rFonts w:ascii="Times New Roman" w:hAnsi="Times New Roman" w:cs="Times New Roman"/>
          <w:sz w:val="22"/>
          <w:szCs w:val="22"/>
        </w:rPr>
        <w:t>s interest in the private use and enjoyment of land.</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Restatement (Second) of Torts §821D. The definition provided for the jury here does not include the term </w:t>
      </w:r>
      <w:r w:rsidRPr="00155E54">
        <w:rPr>
          <w:rFonts w:ascii="Times New Roman" w:hAnsi="Times New Roman" w:cs="Times New Roman"/>
          <w:sz w:val="22"/>
          <w:szCs w:val="22"/>
        </w:rPr>
        <w:t>“</w:t>
      </w:r>
      <w:proofErr w:type="spellStart"/>
      <w:r w:rsidR="00996DDC" w:rsidRPr="00155E54">
        <w:rPr>
          <w:rFonts w:ascii="Times New Roman" w:hAnsi="Times New Roman" w:cs="Times New Roman"/>
          <w:sz w:val="22"/>
          <w:szCs w:val="22"/>
        </w:rPr>
        <w:t>nontrespassory</w:t>
      </w:r>
      <w:proofErr w:type="spellEnd"/>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because the Committee believes it is unnecessary to draw a distinction for the jury between a trespass and </w:t>
      </w:r>
      <w:proofErr w:type="spellStart"/>
      <w:r w:rsidR="00996DDC" w:rsidRPr="00155E54">
        <w:rPr>
          <w:rFonts w:ascii="Times New Roman" w:hAnsi="Times New Roman" w:cs="Times New Roman"/>
          <w:sz w:val="22"/>
          <w:szCs w:val="22"/>
        </w:rPr>
        <w:t>nontrespassory</w:t>
      </w:r>
      <w:proofErr w:type="spellEnd"/>
      <w:r w:rsidR="00996DDC" w:rsidRPr="00155E54">
        <w:rPr>
          <w:rFonts w:ascii="Times New Roman" w:hAnsi="Times New Roman" w:cs="Times New Roman"/>
          <w:sz w:val="22"/>
          <w:szCs w:val="22"/>
        </w:rPr>
        <w:t xml:space="preserve"> nuisance when the case does not involve an alleged trespass. There is, of course, a legal distinction between a trespass and a nuisance. </w:t>
      </w:r>
      <w:r w:rsidR="00996DDC" w:rsidRPr="00155E54">
        <w:rPr>
          <w:rFonts w:ascii="Times New Roman" w:hAnsi="Times New Roman" w:cs="Times New Roman"/>
          <w:iCs/>
          <w:sz w:val="22"/>
          <w:szCs w:val="22"/>
        </w:rPr>
        <w:t>See</w:t>
      </w:r>
      <w:r w:rsidR="00996DDC" w:rsidRPr="00155E54">
        <w:rPr>
          <w:rFonts w:ascii="Times New Roman" w:hAnsi="Times New Roman" w:cs="Times New Roman"/>
          <w:i/>
          <w:iCs/>
          <w:sz w:val="22"/>
          <w:szCs w:val="22"/>
        </w:rPr>
        <w:t>,</w:t>
      </w:r>
      <w:r w:rsidR="00996DDC" w:rsidRPr="00155E54">
        <w:rPr>
          <w:rFonts w:ascii="Times New Roman" w:hAnsi="Times New Roman" w:cs="Times New Roman"/>
          <w:sz w:val="22"/>
          <w:szCs w:val="22"/>
        </w:rPr>
        <w:t xml:space="preserve"> Restatement (Second) of Torts §</w:t>
      </w:r>
      <w:r w:rsidRPr="00155E54">
        <w:rPr>
          <w:rFonts w:ascii="Times New Roman" w:hAnsi="Times New Roman" w:cs="Times New Roman"/>
          <w:sz w:val="22"/>
          <w:szCs w:val="22"/>
        </w:rPr>
        <w:t>821D, Comment d. “</w:t>
      </w:r>
      <w:r w:rsidR="00996DDC" w:rsidRPr="00155E54">
        <w:rPr>
          <w:rFonts w:ascii="Times New Roman" w:hAnsi="Times New Roman" w:cs="Times New Roman"/>
          <w:sz w:val="22"/>
          <w:szCs w:val="22"/>
        </w:rPr>
        <w:t>A trespass is an invasion of the interest in the exclusive possession of land, as by entry upon it. . . .  A nuisance is an interference with the interest in the private use and enjoyment of the land, and does not require interference with the possession.</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w:t>
      </w:r>
      <w:r w:rsidR="00996DDC" w:rsidRPr="00155E54">
        <w:rPr>
          <w:rFonts w:ascii="Times New Roman" w:hAnsi="Times New Roman" w:cs="Times New Roman"/>
          <w:iCs/>
          <w:sz w:val="22"/>
          <w:szCs w:val="22"/>
          <w:u w:val="single"/>
        </w:rPr>
        <w:t>Id</w:t>
      </w:r>
      <w:r w:rsidR="00996DDC" w:rsidRPr="00155E54">
        <w:rPr>
          <w:rFonts w:ascii="Times New Roman" w:hAnsi="Times New Roman" w:cs="Times New Roman"/>
          <w:i/>
          <w:iCs/>
          <w:sz w:val="22"/>
          <w:szCs w:val="22"/>
        </w:rPr>
        <w:t>.</w:t>
      </w:r>
    </w:p>
    <w:p w:rsidR="00996DDC" w:rsidRPr="00155E54" w:rsidRDefault="00996DDC" w:rsidP="00F068F6">
      <w:pPr>
        <w:pStyle w:val="NoSpacing"/>
        <w:jc w:val="both"/>
        <w:rPr>
          <w:rFonts w:ascii="Times New Roman" w:hAnsi="Times New Roman" w:cs="Times New Roman"/>
          <w:sz w:val="22"/>
          <w:szCs w:val="22"/>
        </w:rPr>
      </w:pPr>
    </w:p>
    <w:p w:rsidR="00996DDC" w:rsidRPr="00155E54" w:rsidRDefault="00996DDC" w:rsidP="00F068F6">
      <w:pPr>
        <w:pStyle w:val="NoSpacing"/>
        <w:ind w:firstLine="450"/>
        <w:jc w:val="both"/>
        <w:rPr>
          <w:rFonts w:ascii="Times New Roman" w:hAnsi="Times New Roman" w:cs="Times New Roman"/>
          <w:sz w:val="22"/>
          <w:szCs w:val="22"/>
        </w:rPr>
      </w:pPr>
      <w:r w:rsidRPr="00155E54">
        <w:rPr>
          <w:rFonts w:ascii="Times New Roman" w:hAnsi="Times New Roman" w:cs="Times New Roman"/>
          <w:sz w:val="22"/>
          <w:szCs w:val="22"/>
        </w:rPr>
        <w:t xml:space="preserve">While the definition of a private nuisance in Restatement (Second) of Torts §821 refers to an </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invasion</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 xml:space="preserve"> without mentioning an </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interference,</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 xml:space="preserve"> both the Restatement and Wisconsin </w:t>
      </w:r>
      <w:proofErr w:type="spellStart"/>
      <w:r w:rsidRPr="00155E54">
        <w:rPr>
          <w:rFonts w:ascii="Times New Roman" w:hAnsi="Times New Roman" w:cs="Times New Roman"/>
          <w:sz w:val="22"/>
          <w:szCs w:val="22"/>
        </w:rPr>
        <w:t>caselaw</w:t>
      </w:r>
      <w:proofErr w:type="spellEnd"/>
      <w:r w:rsidRPr="00155E54">
        <w:rPr>
          <w:rFonts w:ascii="Times New Roman" w:hAnsi="Times New Roman" w:cs="Times New Roman"/>
          <w:sz w:val="22"/>
          <w:szCs w:val="22"/>
        </w:rPr>
        <w:t xml:space="preserve"> consistently use the term </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interference</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 xml:space="preserve"> with one</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 xml:space="preserve">s use and enjoyment of land as describing the essence of a private nuisance. </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A nuisance is an interference with the interest in the private use and enjoyment of the land, and does not require interference with the possession.</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 xml:space="preserve"> Restatement (Second) of Torts §821D, Comment d. </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The essence of a private nuisance is an interference with the use and enjo</w:t>
      </w:r>
      <w:r w:rsidR="00F068F6" w:rsidRPr="00155E54">
        <w:rPr>
          <w:rFonts w:ascii="Times New Roman" w:hAnsi="Times New Roman" w:cs="Times New Roman"/>
          <w:sz w:val="22"/>
          <w:szCs w:val="22"/>
        </w:rPr>
        <w:t>yment of land.”</w:t>
      </w:r>
      <w:r w:rsidRPr="00155E54">
        <w:rPr>
          <w:rFonts w:ascii="Times New Roman" w:hAnsi="Times New Roman" w:cs="Times New Roman"/>
          <w:sz w:val="22"/>
          <w:szCs w:val="22"/>
        </w:rPr>
        <w:t xml:space="preserve"> Prosser and Keeton on Torts § 87, at 619. </w:t>
      </w:r>
      <w:r w:rsidRPr="00155E54">
        <w:rPr>
          <w:rFonts w:ascii="Times New Roman" w:hAnsi="Times New Roman" w:cs="Times New Roman"/>
          <w:iCs/>
          <w:sz w:val="22"/>
          <w:szCs w:val="22"/>
          <w:u w:val="single"/>
        </w:rPr>
        <w:t>Milwaukee Metropolitan Sewerage District v. City of Milwaukee</w:t>
      </w:r>
      <w:r w:rsidRPr="00155E54">
        <w:rPr>
          <w:rFonts w:ascii="Times New Roman" w:hAnsi="Times New Roman" w:cs="Times New Roman"/>
          <w:sz w:val="22"/>
          <w:szCs w:val="22"/>
        </w:rPr>
        <w:t xml:space="preserve">, </w:t>
      </w:r>
      <w:r w:rsidRPr="00155E54">
        <w:rPr>
          <w:rFonts w:ascii="Times New Roman" w:hAnsi="Times New Roman" w:cs="Times New Roman"/>
          <w:iCs/>
          <w:sz w:val="22"/>
          <w:szCs w:val="22"/>
          <w:u w:val="single"/>
        </w:rPr>
        <w:t>supra</w:t>
      </w:r>
      <w:r w:rsidRPr="00155E54">
        <w:rPr>
          <w:rFonts w:ascii="Times New Roman" w:hAnsi="Times New Roman" w:cs="Times New Roman"/>
          <w:sz w:val="22"/>
          <w:szCs w:val="22"/>
        </w:rPr>
        <w:t xml:space="preserve">, at 657. </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A nuisance is a condition or activity which unduly interferes with the use of land or of a public place.</w:t>
      </w:r>
      <w:r w:rsidR="00F068F6" w:rsidRPr="00155E54">
        <w:rPr>
          <w:rFonts w:ascii="Times New Roman" w:hAnsi="Times New Roman" w:cs="Times New Roman"/>
          <w:sz w:val="22"/>
          <w:szCs w:val="22"/>
        </w:rPr>
        <w:t>”</w:t>
      </w:r>
      <w:r w:rsidRPr="00155E54">
        <w:rPr>
          <w:rFonts w:ascii="Times New Roman" w:hAnsi="Times New Roman" w:cs="Times New Roman"/>
          <w:sz w:val="22"/>
          <w:szCs w:val="22"/>
        </w:rPr>
        <w:t xml:space="preserve"> </w:t>
      </w:r>
      <w:r w:rsidRPr="00155E54">
        <w:rPr>
          <w:rFonts w:ascii="Times New Roman" w:hAnsi="Times New Roman" w:cs="Times New Roman"/>
          <w:iCs/>
          <w:sz w:val="22"/>
          <w:szCs w:val="22"/>
          <w:u w:val="single"/>
        </w:rPr>
        <w:t>Physicians Plus v. Midwest Mutual</w:t>
      </w:r>
      <w:r w:rsidRPr="00155E54">
        <w:rPr>
          <w:rFonts w:ascii="Times New Roman" w:hAnsi="Times New Roman" w:cs="Times New Roman"/>
          <w:sz w:val="22"/>
          <w:szCs w:val="22"/>
        </w:rPr>
        <w:t xml:space="preserve">, 254 Wis.2d 77, 102 (2002). In most </w:t>
      </w:r>
      <w:proofErr w:type="gramStart"/>
      <w:r w:rsidRPr="00155E54">
        <w:rPr>
          <w:rFonts w:ascii="Times New Roman" w:hAnsi="Times New Roman" w:cs="Times New Roman"/>
          <w:sz w:val="22"/>
          <w:szCs w:val="22"/>
        </w:rPr>
        <w:t>cases</w:t>
      </w:r>
      <w:proofErr w:type="gramEnd"/>
      <w:r w:rsidRPr="00155E54">
        <w:rPr>
          <w:rFonts w:ascii="Times New Roman" w:hAnsi="Times New Roman" w:cs="Times New Roman"/>
          <w:sz w:val="22"/>
          <w:szCs w:val="22"/>
        </w:rPr>
        <w:t xml:space="preserve"> the Committee believes the jury will find the term </w:t>
      </w:r>
      <w:r w:rsidR="00C24F29" w:rsidRPr="00155E54">
        <w:rPr>
          <w:rFonts w:ascii="Times New Roman" w:hAnsi="Times New Roman" w:cs="Times New Roman"/>
          <w:sz w:val="22"/>
          <w:szCs w:val="22"/>
        </w:rPr>
        <w:t>“</w:t>
      </w:r>
      <w:r w:rsidRPr="00155E54">
        <w:rPr>
          <w:rFonts w:ascii="Times New Roman" w:hAnsi="Times New Roman" w:cs="Times New Roman"/>
          <w:sz w:val="22"/>
          <w:szCs w:val="22"/>
        </w:rPr>
        <w:t>interference</w:t>
      </w:r>
      <w:r w:rsidR="00C24F29" w:rsidRPr="00155E54">
        <w:rPr>
          <w:rFonts w:ascii="Times New Roman" w:hAnsi="Times New Roman" w:cs="Times New Roman"/>
          <w:sz w:val="22"/>
          <w:szCs w:val="22"/>
        </w:rPr>
        <w:t>”</w:t>
      </w:r>
      <w:r w:rsidRPr="00155E54">
        <w:rPr>
          <w:rFonts w:ascii="Times New Roman" w:hAnsi="Times New Roman" w:cs="Times New Roman"/>
          <w:sz w:val="22"/>
          <w:szCs w:val="22"/>
        </w:rPr>
        <w:t xml:space="preserve"> an easier concept to apply than the term </w:t>
      </w:r>
      <w:r w:rsidR="00C24F29" w:rsidRPr="00155E54">
        <w:rPr>
          <w:rFonts w:ascii="Times New Roman" w:hAnsi="Times New Roman" w:cs="Times New Roman"/>
          <w:sz w:val="22"/>
          <w:szCs w:val="22"/>
        </w:rPr>
        <w:t>“</w:t>
      </w:r>
      <w:r w:rsidRPr="00155E54">
        <w:rPr>
          <w:rFonts w:ascii="Times New Roman" w:hAnsi="Times New Roman" w:cs="Times New Roman"/>
          <w:sz w:val="22"/>
          <w:szCs w:val="22"/>
        </w:rPr>
        <w:t>invasion,</w:t>
      </w:r>
      <w:r w:rsidR="00C24F29" w:rsidRPr="00155E54">
        <w:rPr>
          <w:rFonts w:ascii="Times New Roman" w:hAnsi="Times New Roman" w:cs="Times New Roman"/>
          <w:sz w:val="22"/>
          <w:szCs w:val="22"/>
        </w:rPr>
        <w:t>”</w:t>
      </w:r>
      <w:r w:rsidRPr="00155E54">
        <w:rPr>
          <w:rFonts w:ascii="Times New Roman" w:hAnsi="Times New Roman" w:cs="Times New Roman"/>
          <w:sz w:val="22"/>
          <w:szCs w:val="22"/>
        </w:rPr>
        <w:t xml:space="preserve"> though there may be instances in which the use of both terms is appropriate.</w:t>
      </w:r>
    </w:p>
    <w:p w:rsidR="00C24F29" w:rsidRPr="00155E54" w:rsidRDefault="00C24F29" w:rsidP="00F068F6">
      <w:pPr>
        <w:pStyle w:val="NoSpacing"/>
        <w:ind w:firstLine="450"/>
        <w:jc w:val="both"/>
        <w:rPr>
          <w:rFonts w:ascii="Times New Roman" w:eastAsia="PMingLiU" w:hAnsi="Times New Roman" w:cs="Times New Roman"/>
          <w:sz w:val="22"/>
          <w:szCs w:val="22"/>
        </w:rPr>
      </w:pPr>
    </w:p>
    <w:p w:rsidR="00F068F6" w:rsidRPr="00155E54" w:rsidRDefault="00C24F29"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t>“</w:t>
      </w:r>
      <w:r w:rsidR="00996DDC" w:rsidRPr="00155E54">
        <w:rPr>
          <w:rFonts w:ascii="Times New Roman" w:hAnsi="Times New Roman" w:cs="Times New Roman"/>
          <w:sz w:val="22"/>
          <w:szCs w:val="22"/>
        </w:rPr>
        <w:t>There is liability for a nuisance only to those to whom it causes significant harm, of a kind that would be suffered by a normal person in the community or by property in normal condition and used for a normal purpose.</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Restatement (Second) of Torts §821F (1979). The explanation in the instruction of what is meant by significant harm is derived from the description of the concept in the Comments to Restatement (Second) of Torts §821F.</w:t>
      </w:r>
    </w:p>
    <w:p w:rsidR="00C24F29" w:rsidRPr="00155E54" w:rsidRDefault="00C24F29" w:rsidP="00C24F29">
      <w:pPr>
        <w:pStyle w:val="NoSpacing"/>
        <w:tabs>
          <w:tab w:val="left" w:pos="900"/>
        </w:tabs>
        <w:ind w:left="450"/>
        <w:jc w:val="both"/>
        <w:rPr>
          <w:rFonts w:ascii="Times New Roman" w:eastAsia="PMingLiU" w:hAnsi="Times New Roman" w:cs="Times New Roman"/>
          <w:sz w:val="22"/>
          <w:szCs w:val="22"/>
        </w:rPr>
      </w:pPr>
    </w:p>
    <w:p w:rsidR="00F068F6" w:rsidRPr="00155E54" w:rsidRDefault="00996DDC"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t>Restatement (Second) of Torts §825.</w:t>
      </w:r>
    </w:p>
    <w:p w:rsidR="00C24F29" w:rsidRPr="00155E54" w:rsidRDefault="00C24F29" w:rsidP="00C24F29">
      <w:pPr>
        <w:pStyle w:val="NoSpacing"/>
        <w:tabs>
          <w:tab w:val="left" w:pos="900"/>
        </w:tabs>
        <w:ind w:left="450"/>
        <w:jc w:val="both"/>
        <w:rPr>
          <w:rFonts w:ascii="Times New Roman" w:eastAsia="PMingLiU" w:hAnsi="Times New Roman" w:cs="Times New Roman"/>
          <w:sz w:val="22"/>
          <w:szCs w:val="22"/>
        </w:rPr>
      </w:pPr>
    </w:p>
    <w:p w:rsidR="00F068F6" w:rsidRPr="00155E54" w:rsidRDefault="00C24F29"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In private nuisance an intentional interference with the plaintiff's use or enjoyment is not of itself a </w:t>
      </w:r>
      <w:proofErr w:type="gramStart"/>
      <w:r w:rsidR="00996DDC" w:rsidRPr="00155E54">
        <w:rPr>
          <w:rFonts w:ascii="Times New Roman" w:hAnsi="Times New Roman" w:cs="Times New Roman"/>
          <w:sz w:val="22"/>
          <w:szCs w:val="22"/>
        </w:rPr>
        <w:t>tort,</w:t>
      </w:r>
      <w:proofErr w:type="gramEnd"/>
      <w:r w:rsidR="00996DDC" w:rsidRPr="00155E54">
        <w:rPr>
          <w:rFonts w:ascii="Times New Roman" w:hAnsi="Times New Roman" w:cs="Times New Roman"/>
          <w:sz w:val="22"/>
          <w:szCs w:val="22"/>
        </w:rPr>
        <w:t xml:space="preserve"> and unreasonableness of the interference is necessary for liability.</w:t>
      </w:r>
      <w:r w:rsidRPr="00155E54">
        <w:rPr>
          <w:rFonts w:ascii="Times New Roman" w:hAnsi="Times New Roman" w:cs="Times New Roman"/>
          <w:sz w:val="22"/>
          <w:szCs w:val="22"/>
        </w:rPr>
        <w:t>”</w:t>
      </w:r>
      <w:r w:rsidR="00996DDC" w:rsidRPr="00155E54">
        <w:rPr>
          <w:rFonts w:ascii="Times New Roman" w:hAnsi="Times New Roman" w:cs="Times New Roman"/>
          <w:sz w:val="22"/>
          <w:szCs w:val="22"/>
        </w:rPr>
        <w:t xml:space="preserve"> Restatement (Second) of Torts §821D, Comment d.</w:t>
      </w:r>
    </w:p>
    <w:p w:rsidR="00C24F29" w:rsidRPr="00155E54" w:rsidRDefault="00C24F29" w:rsidP="00C24F29">
      <w:pPr>
        <w:pStyle w:val="NoSpacing"/>
        <w:tabs>
          <w:tab w:val="left" w:pos="900"/>
        </w:tabs>
        <w:ind w:left="450"/>
        <w:jc w:val="both"/>
        <w:rPr>
          <w:rFonts w:ascii="Times New Roman" w:eastAsia="PMingLiU" w:hAnsi="Times New Roman" w:cs="Times New Roman"/>
          <w:sz w:val="22"/>
          <w:szCs w:val="22"/>
        </w:rPr>
      </w:pPr>
    </w:p>
    <w:p w:rsidR="00F068F6" w:rsidRPr="00155E54" w:rsidRDefault="00996DDC"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t>Restatement (Second) of Torts §826.</w:t>
      </w:r>
    </w:p>
    <w:p w:rsidR="00C24F29" w:rsidRPr="00155E54" w:rsidRDefault="00C24F29" w:rsidP="00C24F29">
      <w:pPr>
        <w:pStyle w:val="NoSpacing"/>
        <w:tabs>
          <w:tab w:val="left" w:pos="900"/>
        </w:tabs>
        <w:ind w:left="450"/>
        <w:jc w:val="both"/>
        <w:rPr>
          <w:rFonts w:ascii="Times New Roman" w:eastAsia="PMingLiU" w:hAnsi="Times New Roman" w:cs="Times New Roman"/>
          <w:sz w:val="22"/>
          <w:szCs w:val="22"/>
        </w:rPr>
      </w:pPr>
    </w:p>
    <w:p w:rsidR="00996DDC" w:rsidRPr="00155E54" w:rsidRDefault="00996DDC" w:rsidP="00F068F6">
      <w:pPr>
        <w:pStyle w:val="NoSpacing"/>
        <w:numPr>
          <w:ilvl w:val="0"/>
          <w:numId w:val="1"/>
        </w:numPr>
        <w:tabs>
          <w:tab w:val="left" w:pos="900"/>
        </w:tabs>
        <w:ind w:left="0" w:firstLine="450"/>
        <w:jc w:val="both"/>
        <w:rPr>
          <w:rFonts w:ascii="Times New Roman" w:eastAsia="PMingLiU" w:hAnsi="Times New Roman" w:cs="Times New Roman"/>
          <w:sz w:val="22"/>
          <w:szCs w:val="22"/>
        </w:rPr>
      </w:pPr>
      <w:r w:rsidRPr="00155E54">
        <w:rPr>
          <w:rFonts w:ascii="Times New Roman" w:hAnsi="Times New Roman" w:cs="Times New Roman"/>
          <w:sz w:val="22"/>
          <w:szCs w:val="22"/>
        </w:rPr>
        <w:t xml:space="preserve">In order to be entitled to any recovery, the plaintiff must prove significant harm. There may be some cases in which the damages found by the jury would be so high or so low that the damages found in themselves would disclose </w:t>
      </w:r>
      <w:proofErr w:type="gramStart"/>
      <w:r w:rsidRPr="00155E54">
        <w:rPr>
          <w:rFonts w:ascii="Times New Roman" w:hAnsi="Times New Roman" w:cs="Times New Roman"/>
          <w:sz w:val="22"/>
          <w:szCs w:val="22"/>
        </w:rPr>
        <w:t>whether or not</w:t>
      </w:r>
      <w:proofErr w:type="gramEnd"/>
      <w:r w:rsidRPr="00155E54">
        <w:rPr>
          <w:rFonts w:ascii="Times New Roman" w:hAnsi="Times New Roman" w:cs="Times New Roman"/>
          <w:sz w:val="22"/>
          <w:szCs w:val="22"/>
        </w:rPr>
        <w:t xml:space="preserve"> the jury concluded the nuisance caused significant harm. There may be other cases, however, in which the damage amount alone does not conclusively demonstrate whether the jury believed the harm suffered was or was not significant.  Including the significant harm question in the verdict provides a clear answer as to whether jury believes the harm found is or is not significant.</w:t>
      </w:r>
    </w:p>
    <w:p w:rsidR="00446E23" w:rsidRPr="00155E54" w:rsidRDefault="00446E23" w:rsidP="00446E23">
      <w:pPr>
        <w:pStyle w:val="ListParagraph"/>
        <w:rPr>
          <w:rFonts w:ascii="Times New Roman" w:eastAsia="PMingLiU" w:hAnsi="Times New Roman" w:cs="Times New Roman"/>
          <w:sz w:val="22"/>
          <w:szCs w:val="22"/>
        </w:rPr>
      </w:pPr>
    </w:p>
    <w:p w:rsidR="00446E23" w:rsidRPr="00155E54" w:rsidRDefault="00446E23" w:rsidP="00446E23">
      <w:pPr>
        <w:pStyle w:val="NoSpacing"/>
        <w:tabs>
          <w:tab w:val="left" w:pos="900"/>
        </w:tabs>
        <w:ind w:left="450"/>
        <w:jc w:val="both"/>
        <w:rPr>
          <w:rFonts w:ascii="Times New Roman" w:eastAsia="PMingLiU" w:hAnsi="Times New Roman" w:cs="Times New Roman"/>
          <w:sz w:val="22"/>
          <w:szCs w:val="22"/>
        </w:rPr>
      </w:pPr>
    </w:p>
    <w:p w:rsidR="00F068F6" w:rsidRPr="00155E54" w:rsidRDefault="00F068F6" w:rsidP="00F068F6">
      <w:pPr>
        <w:pStyle w:val="NoSpacing"/>
        <w:jc w:val="both"/>
        <w:rPr>
          <w:rFonts w:ascii="Times New Roman" w:eastAsia="PMingLiU" w:hAnsi="Times New Roman" w:cs="Times New Roman"/>
          <w:sz w:val="22"/>
          <w:szCs w:val="22"/>
        </w:rPr>
      </w:pPr>
    </w:p>
    <w:p w:rsidR="00996DDC" w:rsidRPr="00155E54" w:rsidRDefault="00996DDC" w:rsidP="00F068F6">
      <w:pPr>
        <w:pStyle w:val="NoSpacing"/>
        <w:jc w:val="both"/>
        <w:rPr>
          <w:rFonts w:ascii="Times New Roman" w:eastAsia="PMingLiU" w:hAnsi="Times New Roman" w:cs="Times New Roman"/>
          <w:sz w:val="22"/>
          <w:szCs w:val="22"/>
        </w:rPr>
      </w:pPr>
      <w:r w:rsidRPr="00155E54">
        <w:rPr>
          <w:rFonts w:ascii="Times New Roman" w:hAnsi="Times New Roman" w:cs="Times New Roman"/>
          <w:b/>
          <w:bCs/>
          <w:sz w:val="22"/>
          <w:szCs w:val="22"/>
        </w:rPr>
        <w:lastRenderedPageBreak/>
        <w:t>COMMENT</w:t>
      </w:r>
      <w:bookmarkStart w:id="0" w:name="_GoBack"/>
      <w:bookmarkEnd w:id="0"/>
    </w:p>
    <w:p w:rsidR="00996DDC" w:rsidRPr="00155E54" w:rsidRDefault="00996DDC" w:rsidP="00F068F6">
      <w:pPr>
        <w:pStyle w:val="NoSpacing"/>
        <w:jc w:val="both"/>
        <w:rPr>
          <w:rFonts w:ascii="Times New Roman" w:hAnsi="Times New Roman" w:cs="Times New Roman"/>
          <w:sz w:val="22"/>
          <w:szCs w:val="22"/>
        </w:rPr>
      </w:pPr>
    </w:p>
    <w:p w:rsidR="00996DDC" w:rsidRPr="00155E54" w:rsidRDefault="00996DDC" w:rsidP="00C10702">
      <w:pPr>
        <w:pStyle w:val="NoSpacing"/>
        <w:ind w:firstLine="450"/>
        <w:jc w:val="both"/>
        <w:rPr>
          <w:rFonts w:ascii="Times New Roman" w:hAnsi="Times New Roman" w:cs="Times New Roman"/>
          <w:sz w:val="22"/>
          <w:szCs w:val="22"/>
        </w:rPr>
      </w:pPr>
      <w:proofErr w:type="gramStart"/>
      <w:r w:rsidRPr="00155E54">
        <w:rPr>
          <w:rFonts w:ascii="Times New Roman" w:hAnsi="Times New Roman" w:cs="Times New Roman"/>
          <w:sz w:val="22"/>
          <w:szCs w:val="22"/>
        </w:rPr>
        <w:t>This instruction was approved by the committee</w:t>
      </w:r>
      <w:proofErr w:type="gramEnd"/>
      <w:r w:rsidRPr="00155E54">
        <w:rPr>
          <w:rFonts w:ascii="Times New Roman" w:hAnsi="Times New Roman" w:cs="Times New Roman"/>
          <w:sz w:val="22"/>
          <w:szCs w:val="22"/>
        </w:rPr>
        <w:t xml:space="preserve"> in 2009.</w:t>
      </w:r>
      <w:r w:rsidR="00C10702" w:rsidRPr="00155E54">
        <w:rPr>
          <w:rFonts w:ascii="Times New Roman" w:hAnsi="Times New Roman" w:cs="Times New Roman"/>
          <w:sz w:val="22"/>
          <w:szCs w:val="22"/>
        </w:rPr>
        <w:t xml:space="preserve"> </w:t>
      </w:r>
      <w:proofErr w:type="gramStart"/>
      <w:r w:rsidR="00C10702" w:rsidRPr="00155E54">
        <w:rPr>
          <w:rFonts w:ascii="Times New Roman" w:hAnsi="Times New Roman" w:cs="Times New Roman"/>
          <w:sz w:val="22"/>
          <w:szCs w:val="22"/>
        </w:rPr>
        <w:t>This revision was approved</w:t>
      </w:r>
      <w:r w:rsidR="00446E23" w:rsidRPr="00155E54">
        <w:rPr>
          <w:rFonts w:ascii="Times New Roman" w:hAnsi="Times New Roman" w:cs="Times New Roman"/>
          <w:sz w:val="22"/>
          <w:szCs w:val="22"/>
        </w:rPr>
        <w:t xml:space="preserve"> by the Committee</w:t>
      </w:r>
      <w:proofErr w:type="gramEnd"/>
      <w:r w:rsidR="00446E23" w:rsidRPr="00155E54">
        <w:rPr>
          <w:rFonts w:ascii="Times New Roman" w:hAnsi="Times New Roman" w:cs="Times New Roman"/>
          <w:sz w:val="22"/>
          <w:szCs w:val="22"/>
        </w:rPr>
        <w:t xml:space="preserve"> in September 2024</w:t>
      </w:r>
      <w:r w:rsidR="00C10702" w:rsidRPr="00155E54">
        <w:rPr>
          <w:rFonts w:ascii="Times New Roman" w:hAnsi="Times New Roman" w:cs="Times New Roman"/>
          <w:sz w:val="22"/>
          <w:szCs w:val="22"/>
        </w:rPr>
        <w:t xml:space="preserve">; it added to the comment. </w:t>
      </w:r>
    </w:p>
    <w:p w:rsidR="003736B7" w:rsidRPr="00155E54" w:rsidRDefault="003736B7" w:rsidP="00F068F6">
      <w:pPr>
        <w:pStyle w:val="NoSpacing"/>
        <w:ind w:firstLine="450"/>
        <w:jc w:val="both"/>
        <w:rPr>
          <w:rFonts w:ascii="Times New Roman" w:hAnsi="Times New Roman" w:cs="Times New Roman"/>
          <w:sz w:val="22"/>
          <w:szCs w:val="22"/>
        </w:rPr>
      </w:pPr>
    </w:p>
    <w:p w:rsidR="003736B7" w:rsidRPr="00155E54" w:rsidRDefault="003736B7" w:rsidP="00F068F6">
      <w:pPr>
        <w:pStyle w:val="NoSpacing"/>
        <w:ind w:firstLine="450"/>
        <w:jc w:val="both"/>
        <w:rPr>
          <w:rFonts w:ascii="Times New Roman" w:hAnsi="Times New Roman" w:cs="Times New Roman"/>
          <w:sz w:val="22"/>
          <w:szCs w:val="22"/>
        </w:rPr>
      </w:pPr>
      <w:r w:rsidRPr="00155E54">
        <w:rPr>
          <w:b/>
          <w:bCs/>
          <w:sz w:val="22"/>
          <w:szCs w:val="22"/>
        </w:rPr>
        <w:t>Permanent vs. continuing nuisances</w:t>
      </w:r>
      <w:r w:rsidRPr="00155E54">
        <w:rPr>
          <w:sz w:val="22"/>
          <w:szCs w:val="22"/>
        </w:rPr>
        <w:t xml:space="preserve">. Whether a private nuisance claim </w:t>
      </w:r>
      <w:proofErr w:type="gramStart"/>
      <w:r w:rsidRPr="00155E54">
        <w:rPr>
          <w:sz w:val="22"/>
          <w:szCs w:val="22"/>
        </w:rPr>
        <w:t>is barred</w:t>
      </w:r>
      <w:proofErr w:type="gramEnd"/>
      <w:r w:rsidRPr="00155E54">
        <w:rPr>
          <w:sz w:val="22"/>
          <w:szCs w:val="22"/>
        </w:rPr>
        <w:t xml:space="preserve"> by the applicable statute of limitations depends on whether the nuisance is permanent or continuing. For more information on determining whether a nuisance is permanent or continuing, see </w:t>
      </w:r>
      <w:proofErr w:type="spellStart"/>
      <w:r w:rsidRPr="00155E54">
        <w:rPr>
          <w:sz w:val="22"/>
          <w:szCs w:val="22"/>
        </w:rPr>
        <w:t>Wis</w:t>
      </w:r>
      <w:proofErr w:type="spellEnd"/>
      <w:r w:rsidRPr="00155E54">
        <w:rPr>
          <w:sz w:val="22"/>
          <w:szCs w:val="22"/>
        </w:rPr>
        <w:t xml:space="preserve"> JI-Civil 1920. </w:t>
      </w:r>
      <w:r w:rsidRPr="00155E54">
        <w:t xml:space="preserve"> </w:t>
      </w:r>
    </w:p>
    <w:sectPr w:rsidR="003736B7" w:rsidRPr="00155E54" w:rsidSect="00155E5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DC" w:rsidRDefault="00996DDC" w:rsidP="00996DDC">
      <w:r>
        <w:separator/>
      </w:r>
    </w:p>
  </w:endnote>
  <w:endnote w:type="continuationSeparator" w:id="0">
    <w:p w:rsidR="00996DDC" w:rsidRDefault="00996DDC" w:rsidP="0099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8F6" w:rsidRDefault="00F068F6" w:rsidP="00F068F6">
    <w:pPr>
      <w:pStyle w:val="Footer"/>
      <w:jc w:val="both"/>
      <w:rPr>
        <w:rFonts w:ascii="Arial" w:hAnsi="Arial" w:cs="Arial"/>
        <w:sz w:val="20"/>
        <w:szCs w:val="20"/>
      </w:rPr>
    </w:pPr>
  </w:p>
  <w:p w:rsidR="00F068F6" w:rsidRPr="00F068F6" w:rsidRDefault="00F068F6" w:rsidP="00F068F6">
    <w:pPr>
      <w:pStyle w:val="Footer"/>
      <w:jc w:val="both"/>
      <w:rPr>
        <w:rFonts w:ascii="Arial" w:hAnsi="Arial" w:cs="Arial"/>
        <w:sz w:val="20"/>
        <w:szCs w:val="20"/>
      </w:rPr>
    </w:pPr>
    <w:r w:rsidRPr="00F068F6">
      <w:rPr>
        <w:rFonts w:ascii="Arial" w:hAnsi="Arial" w:cs="Arial"/>
        <w:sz w:val="20"/>
        <w:szCs w:val="20"/>
      </w:rPr>
      <w:t>Wisconsin C</w:t>
    </w:r>
    <w:r w:rsidR="000E2BF2">
      <w:rPr>
        <w:rFonts w:ascii="Arial" w:hAnsi="Arial" w:cs="Arial"/>
        <w:sz w:val="20"/>
        <w:szCs w:val="20"/>
      </w:rPr>
      <w:t>ourt System, 2</w:t>
    </w:r>
    <w:r w:rsidR="00AF462F">
      <w:rPr>
        <w:rFonts w:ascii="Arial" w:hAnsi="Arial" w:cs="Arial"/>
        <w:sz w:val="20"/>
        <w:szCs w:val="20"/>
      </w:rPr>
      <w:t>/2025</w:t>
    </w:r>
    <w:r w:rsidR="00155E54">
      <w:rPr>
        <w:rFonts w:ascii="Arial" w:hAnsi="Arial" w:cs="Arial"/>
        <w:sz w:val="20"/>
        <w:szCs w:val="20"/>
      </w:rPr>
      <w:tab/>
    </w:r>
    <w:r w:rsidR="00155E54">
      <w:rPr>
        <w:rFonts w:ascii="Arial" w:hAnsi="Arial" w:cs="Arial"/>
        <w:sz w:val="20"/>
        <w:szCs w:val="20"/>
      </w:rPr>
      <w:tab/>
      <w:t>(Release No. 58</w:t>
    </w:r>
    <w:r w:rsidRPr="00F068F6">
      <w:rPr>
        <w:rFonts w:ascii="Arial" w:hAnsi="Arial" w:cs="Arial"/>
        <w:sz w:val="20"/>
        <w:szCs w:val="20"/>
      </w:rPr>
      <w:t>)</w:t>
    </w:r>
  </w:p>
  <w:p w:rsidR="00F068F6" w:rsidRDefault="000E2BF2">
    <w:pPr>
      <w:pStyle w:val="Footer"/>
      <w:jc w:val="center"/>
    </w:pPr>
    <w:sdt>
      <w:sdtPr>
        <w:rPr>
          <w:rFonts w:ascii="Arial" w:hAnsi="Arial" w:cs="Arial"/>
          <w:sz w:val="20"/>
          <w:szCs w:val="20"/>
        </w:rPr>
        <w:id w:val="56832938"/>
        <w:docPartObj>
          <w:docPartGallery w:val="Page Numbers (Bottom of Page)"/>
          <w:docPartUnique/>
        </w:docPartObj>
      </w:sdtPr>
      <w:sdtEndPr>
        <w:rPr>
          <w:noProof/>
        </w:rPr>
      </w:sdtEndPr>
      <w:sdtContent>
        <w:r w:rsidR="00F068F6" w:rsidRPr="00F068F6">
          <w:rPr>
            <w:rFonts w:ascii="Arial" w:hAnsi="Arial" w:cs="Arial"/>
            <w:sz w:val="20"/>
            <w:szCs w:val="20"/>
          </w:rPr>
          <w:fldChar w:fldCharType="begin"/>
        </w:r>
        <w:r w:rsidR="00F068F6" w:rsidRPr="00F068F6">
          <w:rPr>
            <w:rFonts w:ascii="Arial" w:hAnsi="Arial" w:cs="Arial"/>
            <w:sz w:val="20"/>
            <w:szCs w:val="20"/>
          </w:rPr>
          <w:instrText xml:space="preserve"> PAGE   \* MERGEFORMAT </w:instrText>
        </w:r>
        <w:r w:rsidR="00F068F6" w:rsidRPr="00F068F6">
          <w:rPr>
            <w:rFonts w:ascii="Arial" w:hAnsi="Arial" w:cs="Arial"/>
            <w:sz w:val="20"/>
            <w:szCs w:val="20"/>
          </w:rPr>
          <w:fldChar w:fldCharType="separate"/>
        </w:r>
        <w:r>
          <w:rPr>
            <w:rFonts w:ascii="Arial" w:hAnsi="Arial" w:cs="Arial"/>
            <w:noProof/>
            <w:sz w:val="20"/>
            <w:szCs w:val="20"/>
          </w:rPr>
          <w:t>5</w:t>
        </w:r>
        <w:r w:rsidR="00F068F6" w:rsidRPr="00F068F6">
          <w:rPr>
            <w:rFonts w:ascii="Arial" w:hAnsi="Arial" w:cs="Arial"/>
            <w:noProof/>
            <w:sz w:val="20"/>
            <w:szCs w:val="20"/>
          </w:rPr>
          <w:fldChar w:fldCharType="end"/>
        </w:r>
      </w:sdtContent>
    </w:sdt>
  </w:p>
  <w:p w:rsidR="00F068F6" w:rsidRDefault="00F06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DC" w:rsidRDefault="00996DDC" w:rsidP="00996DDC">
      <w:r>
        <w:separator/>
      </w:r>
    </w:p>
  </w:footnote>
  <w:footnote w:type="continuationSeparator" w:id="0">
    <w:p w:rsidR="00996DDC" w:rsidRDefault="00996DDC" w:rsidP="0099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rsidP="00996DDC">
    <w:pPr>
      <w:tabs>
        <w:tab w:val="center" w:pos="4680"/>
        <w:tab w:val="right" w:pos="9360"/>
      </w:tabs>
      <w:jc w:val="both"/>
      <w:rPr>
        <w:rFonts w:ascii="Helvetica" w:hAnsi="Helvetica" w:cs="Helvetica"/>
        <w:b/>
        <w:bCs/>
        <w:sz w:val="28"/>
        <w:szCs w:val="28"/>
      </w:rPr>
    </w:pPr>
  </w:p>
  <w:p w:rsidR="00996DDC" w:rsidRDefault="00996DDC" w:rsidP="00996DDC">
    <w:pPr>
      <w:tabs>
        <w:tab w:val="center" w:pos="4680"/>
        <w:tab w:val="right" w:pos="9360"/>
      </w:tabs>
      <w:jc w:val="both"/>
      <w:rPr>
        <w:rFonts w:ascii="Helvetica" w:hAnsi="Helvetica" w:cs="Helvetica"/>
        <w:b/>
        <w:bCs/>
        <w:sz w:val="28"/>
        <w:szCs w:val="28"/>
      </w:rPr>
    </w:pPr>
    <w:r w:rsidRPr="00996DDC">
      <w:rPr>
        <w:rFonts w:ascii="Helvetica" w:hAnsi="Helvetica" w:cs="Helvetica"/>
        <w:b/>
        <w:bCs/>
        <w:sz w:val="28"/>
        <w:szCs w:val="28"/>
      </w:rPr>
      <w:t>1926</w:t>
    </w:r>
    <w:r w:rsidRPr="00996DDC">
      <w:rPr>
        <w:rFonts w:ascii="Helvetica" w:hAnsi="Helvetica" w:cs="Helvetica"/>
        <w:b/>
        <w:bCs/>
        <w:sz w:val="28"/>
        <w:szCs w:val="28"/>
      </w:rPr>
      <w:tab/>
      <w:t>WIS JI-CIVIL</w:t>
    </w:r>
    <w:r w:rsidRPr="00996DDC">
      <w:rPr>
        <w:rFonts w:ascii="Helvetica" w:hAnsi="Helvetica" w:cs="Helvetica"/>
        <w:b/>
        <w:bCs/>
        <w:sz w:val="28"/>
        <w:szCs w:val="28"/>
      </w:rPr>
      <w:tab/>
      <w:t>1926</w:t>
    </w:r>
  </w:p>
  <w:p w:rsidR="00996DDC" w:rsidRDefault="00996DDC" w:rsidP="00996DDC">
    <w:pPr>
      <w:tabs>
        <w:tab w:val="center" w:pos="4680"/>
        <w:tab w:val="right" w:pos="9360"/>
      </w:tabs>
      <w:jc w:val="both"/>
      <w:rPr>
        <w:rFonts w:ascii="Helvetica" w:hAnsi="Helvetica" w:cs="Helvetica"/>
        <w:b/>
        <w:bCs/>
        <w:sz w:val="28"/>
        <w:szCs w:val="28"/>
      </w:rPr>
    </w:pPr>
  </w:p>
  <w:p w:rsidR="00996DDC" w:rsidRPr="00996DDC" w:rsidRDefault="00996DDC" w:rsidP="00996DDC">
    <w:pPr>
      <w:tabs>
        <w:tab w:val="center" w:pos="4680"/>
        <w:tab w:val="right" w:pos="9360"/>
      </w:tabs>
      <w:jc w:val="both"/>
      <w:rPr>
        <w:rFonts w:ascii="Helvetica" w:hAnsi="Helvetica" w:cs="Helvetic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18A"/>
    <w:multiLevelType w:val="hybridMultilevel"/>
    <w:tmpl w:val="C2861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DC"/>
    <w:rsid w:val="000E2BF2"/>
    <w:rsid w:val="00155E54"/>
    <w:rsid w:val="00320D41"/>
    <w:rsid w:val="003736B7"/>
    <w:rsid w:val="00446E23"/>
    <w:rsid w:val="00996DDC"/>
    <w:rsid w:val="00AF462F"/>
    <w:rsid w:val="00C10702"/>
    <w:rsid w:val="00C24F29"/>
    <w:rsid w:val="00D46A2F"/>
    <w:rsid w:val="00F068F6"/>
    <w:rsid w:val="00FA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7415E6"/>
  <w15:chartTrackingRefBased/>
  <w15:docId w15:val="{CD378116-BBF6-4E13-BAC2-B7133FB0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DDC"/>
    <w:pPr>
      <w:widowControl w:val="0"/>
      <w:autoSpaceDE w:val="0"/>
      <w:autoSpaceDN w:val="0"/>
      <w:adjustRightInd w:val="0"/>
      <w:spacing w:after="0" w:line="240" w:lineRule="auto"/>
    </w:pPr>
    <w:rPr>
      <w:rFonts w:ascii="Times" w:eastAsia="Times New Roman"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DD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96DDC"/>
  </w:style>
  <w:style w:type="paragraph" w:styleId="Footer">
    <w:name w:val="footer"/>
    <w:basedOn w:val="Normal"/>
    <w:link w:val="FooterChar"/>
    <w:uiPriority w:val="99"/>
    <w:unhideWhenUsed/>
    <w:rsid w:val="00996DDC"/>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96DDC"/>
  </w:style>
  <w:style w:type="character" w:styleId="FootnoteReference">
    <w:name w:val="footnote reference"/>
    <w:uiPriority w:val="99"/>
    <w:rsid w:val="00996DDC"/>
  </w:style>
  <w:style w:type="character" w:styleId="LineNumber">
    <w:name w:val="line number"/>
    <w:basedOn w:val="DefaultParagraphFont"/>
    <w:uiPriority w:val="99"/>
    <w:semiHidden/>
    <w:unhideWhenUsed/>
    <w:rsid w:val="00996DDC"/>
  </w:style>
  <w:style w:type="paragraph" w:styleId="NoSpacing">
    <w:name w:val="No Spacing"/>
    <w:uiPriority w:val="1"/>
    <w:qFormat/>
    <w:rsid w:val="00996DDC"/>
    <w:pPr>
      <w:widowControl w:val="0"/>
      <w:autoSpaceDE w:val="0"/>
      <w:autoSpaceDN w:val="0"/>
      <w:adjustRightInd w:val="0"/>
      <w:spacing w:after="0" w:line="240" w:lineRule="auto"/>
    </w:pPr>
    <w:rPr>
      <w:rFonts w:ascii="Times" w:eastAsia="Times New Roman" w:hAnsi="Times" w:cs="Times"/>
      <w:sz w:val="24"/>
      <w:szCs w:val="24"/>
    </w:rPr>
  </w:style>
  <w:style w:type="paragraph" w:styleId="ListParagraph">
    <w:name w:val="List Paragraph"/>
    <w:basedOn w:val="Normal"/>
    <w:uiPriority w:val="34"/>
    <w:qFormat/>
    <w:rsid w:val="00F068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dcterms:created xsi:type="dcterms:W3CDTF">2025-01-10T21:52:00Z</dcterms:created>
  <dcterms:modified xsi:type="dcterms:W3CDTF">2025-03-04T19:42:00Z</dcterms:modified>
</cp:coreProperties>
</file>