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ED" w:rsidRPr="00736333" w:rsidRDefault="00CE36D2" w:rsidP="00D232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bCs/>
          <w:sz w:val="26"/>
          <w:szCs w:val="26"/>
        </w:rPr>
      </w:pPr>
      <w:r>
        <w:rPr>
          <w:rFonts w:ascii="Times New Roman" w:hAnsi="Times New Roman"/>
          <w:b/>
          <w:bCs/>
          <w:sz w:val="26"/>
          <w:szCs w:val="26"/>
        </w:rPr>
        <w:t>3079</w:t>
      </w:r>
      <w:r w:rsidR="00D232ED" w:rsidRPr="00736333">
        <w:rPr>
          <w:rFonts w:ascii="Times New Roman" w:hAnsi="Times New Roman"/>
          <w:b/>
          <w:bCs/>
          <w:sz w:val="26"/>
          <w:szCs w:val="26"/>
        </w:rPr>
        <w:tab/>
        <w:t>TERMINATION OF EASEMENT BY ABANDONMENT</w:t>
      </w:r>
    </w:p>
    <w:p w:rsidR="00D232ED" w:rsidRPr="00736333" w:rsidRDefault="00D232ED" w:rsidP="00D232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bCs/>
          <w:sz w:val="26"/>
          <w:szCs w:val="26"/>
        </w:rPr>
      </w:pPr>
    </w:p>
    <w:p w:rsidR="00D232ED" w:rsidRPr="00736333" w:rsidRDefault="00D232ED" w:rsidP="00412839">
      <w:pPr>
        <w:pStyle w:val="NoSpacing"/>
        <w:ind w:firstLine="720"/>
        <w:rPr>
          <w:rFonts w:ascii="Times New Roman" w:hAnsi="Times New Roman"/>
          <w:sz w:val="26"/>
          <w:szCs w:val="26"/>
        </w:rPr>
      </w:pPr>
    </w:p>
    <w:p w:rsidR="00D232ED" w:rsidRPr="00736333" w:rsidRDefault="00F065E9" w:rsidP="00905078">
      <w:pPr>
        <w:pStyle w:val="NoSpacing"/>
        <w:spacing w:line="480" w:lineRule="auto"/>
        <w:ind w:firstLine="450"/>
        <w:jc w:val="both"/>
        <w:rPr>
          <w:rFonts w:ascii="Times New Roman" w:eastAsiaTheme="minorHAnsi" w:hAnsi="Times New Roman"/>
          <w:iCs/>
          <w:sz w:val="22"/>
          <w:szCs w:val="22"/>
        </w:rPr>
      </w:pPr>
      <w:r w:rsidRPr="00736333">
        <w:rPr>
          <w:rFonts w:ascii="Times New Roman" w:hAnsi="Times New Roman"/>
          <w:sz w:val="26"/>
          <w:szCs w:val="26"/>
        </w:rPr>
        <w:t>(</w:t>
      </w:r>
      <w:r w:rsidR="00D232ED" w:rsidRPr="00736333">
        <w:rPr>
          <w:rFonts w:ascii="Times New Roman" w:hAnsi="Times New Roman"/>
          <w:sz w:val="26"/>
          <w:szCs w:val="26"/>
          <w:u w:val="single"/>
        </w:rPr>
        <w:t>Servient landowner</w:t>
      </w:r>
      <w:r w:rsidRPr="00736333">
        <w:rPr>
          <w:rFonts w:ascii="Times New Roman" w:hAnsi="Times New Roman"/>
          <w:sz w:val="26"/>
          <w:szCs w:val="26"/>
        </w:rPr>
        <w:t>)</w:t>
      </w:r>
      <w:r w:rsidR="00D232ED" w:rsidRPr="00736333">
        <w:rPr>
          <w:rFonts w:ascii="Times New Roman" w:hAnsi="Times New Roman"/>
          <w:sz w:val="26"/>
          <w:szCs w:val="26"/>
        </w:rPr>
        <w:t xml:space="preserve"> contends that </w:t>
      </w:r>
      <w:proofErr w:type="gramStart"/>
      <w:r w:rsidR="00D232ED" w:rsidRPr="00736333">
        <w:rPr>
          <w:rFonts w:ascii="Times New Roman" w:hAnsi="Times New Roman"/>
          <w:sz w:val="26"/>
          <w:szCs w:val="26"/>
        </w:rPr>
        <w:t xml:space="preserve">the easement was abandoned </w:t>
      </w:r>
      <w:r w:rsidRPr="00736333">
        <w:rPr>
          <w:rFonts w:ascii="Times New Roman" w:hAnsi="Times New Roman"/>
          <w:sz w:val="26"/>
          <w:szCs w:val="26"/>
        </w:rPr>
        <w:t>by (</w:t>
      </w:r>
      <w:r w:rsidR="00CA40D3" w:rsidRPr="00736333">
        <w:rPr>
          <w:rFonts w:ascii="Times New Roman" w:hAnsi="Times New Roman"/>
          <w:sz w:val="26"/>
          <w:szCs w:val="26"/>
          <w:u w:val="single"/>
        </w:rPr>
        <w:t>easement holder</w:t>
      </w:r>
      <w:r w:rsidRPr="00736333">
        <w:rPr>
          <w:rFonts w:ascii="Times New Roman" w:hAnsi="Times New Roman"/>
          <w:sz w:val="26"/>
          <w:szCs w:val="26"/>
        </w:rPr>
        <w:t>)</w:t>
      </w:r>
      <w:proofErr w:type="gramEnd"/>
      <w:r w:rsidR="00D232ED" w:rsidRPr="00736333">
        <w:rPr>
          <w:rFonts w:ascii="Times New Roman" w:hAnsi="Times New Roman"/>
          <w:sz w:val="26"/>
          <w:szCs w:val="26"/>
        </w:rPr>
        <w:t>. To prove this abandonment</w:t>
      </w:r>
      <w:r w:rsidRPr="00736333">
        <w:rPr>
          <w:rFonts w:ascii="Times New Roman" w:hAnsi="Times New Roman"/>
          <w:sz w:val="26"/>
          <w:szCs w:val="26"/>
        </w:rPr>
        <w:t>, (</w:t>
      </w:r>
      <w:r w:rsidR="00D232ED" w:rsidRPr="00736333">
        <w:rPr>
          <w:rFonts w:ascii="Times New Roman" w:hAnsi="Times New Roman"/>
          <w:sz w:val="26"/>
          <w:szCs w:val="26"/>
          <w:u w:val="single"/>
        </w:rPr>
        <w:t>servient landowner</w:t>
      </w:r>
      <w:r w:rsidRPr="00736333">
        <w:rPr>
          <w:rFonts w:ascii="Times New Roman" w:hAnsi="Times New Roman"/>
          <w:sz w:val="26"/>
          <w:szCs w:val="26"/>
        </w:rPr>
        <w:t>)</w:t>
      </w:r>
      <w:r w:rsidR="00D232ED" w:rsidRPr="00736333">
        <w:rPr>
          <w:rFonts w:ascii="Times New Roman" w:hAnsi="Times New Roman"/>
          <w:sz w:val="26"/>
          <w:szCs w:val="26"/>
        </w:rPr>
        <w:t xml:space="preserve"> must prove </w:t>
      </w:r>
      <w:r w:rsidRPr="00736333">
        <w:rPr>
          <w:rFonts w:ascii="Times New Roman" w:hAnsi="Times New Roman"/>
          <w:sz w:val="26"/>
          <w:szCs w:val="26"/>
        </w:rPr>
        <w:t>that (</w:t>
      </w:r>
      <w:r w:rsidR="00CA40D3" w:rsidRPr="00736333">
        <w:rPr>
          <w:rFonts w:ascii="Times New Roman" w:hAnsi="Times New Roman"/>
          <w:sz w:val="26"/>
          <w:szCs w:val="26"/>
          <w:u w:val="single"/>
        </w:rPr>
        <w:t>easement holder</w:t>
      </w:r>
      <w:r w:rsidR="00905078">
        <w:rPr>
          <w:rFonts w:ascii="Times New Roman" w:hAnsi="Times New Roman"/>
          <w:sz w:val="26"/>
          <w:szCs w:val="26"/>
        </w:rPr>
        <w:t>) has shown by (his) (her) (</w:t>
      </w:r>
      <w:r w:rsidRPr="00736333">
        <w:rPr>
          <w:rFonts w:ascii="Times New Roman" w:hAnsi="Times New Roman"/>
          <w:sz w:val="26"/>
          <w:szCs w:val="26"/>
        </w:rPr>
        <w:t>its)</w:t>
      </w:r>
      <w:r w:rsidR="00D232ED" w:rsidRPr="00736333">
        <w:rPr>
          <w:rFonts w:ascii="Times New Roman" w:hAnsi="Times New Roman"/>
          <w:sz w:val="26"/>
          <w:szCs w:val="26"/>
        </w:rPr>
        <w:t xml:space="preserve"> conduct a clear intention to for</w:t>
      </w:r>
      <w:r w:rsidR="009B0CF0" w:rsidRPr="00736333">
        <w:rPr>
          <w:rFonts w:ascii="Times New Roman" w:hAnsi="Times New Roman"/>
          <w:sz w:val="26"/>
          <w:szCs w:val="26"/>
        </w:rPr>
        <w:t>go all future uses authorized by</w:t>
      </w:r>
      <w:r w:rsidR="00D232ED" w:rsidRPr="00736333">
        <w:rPr>
          <w:rFonts w:ascii="Times New Roman" w:hAnsi="Times New Roman"/>
          <w:sz w:val="26"/>
          <w:szCs w:val="26"/>
        </w:rPr>
        <w:t xml:space="preserve"> the easement. The fact </w:t>
      </w:r>
      <w:r w:rsidRPr="00736333">
        <w:rPr>
          <w:rFonts w:ascii="Times New Roman" w:hAnsi="Times New Roman"/>
          <w:sz w:val="26"/>
          <w:szCs w:val="26"/>
        </w:rPr>
        <w:t>that (</w:t>
      </w:r>
      <w:r w:rsidR="00CA40D3" w:rsidRPr="00736333">
        <w:rPr>
          <w:rFonts w:ascii="Times New Roman" w:hAnsi="Times New Roman"/>
          <w:sz w:val="26"/>
          <w:szCs w:val="26"/>
          <w:u w:val="single"/>
        </w:rPr>
        <w:t>easement holder</w:t>
      </w:r>
      <w:r w:rsidRPr="00736333">
        <w:rPr>
          <w:rFonts w:ascii="Times New Roman" w:hAnsi="Times New Roman"/>
          <w:sz w:val="26"/>
          <w:szCs w:val="26"/>
        </w:rPr>
        <w:t>)</w:t>
      </w:r>
      <w:r w:rsidR="00D232ED" w:rsidRPr="00736333">
        <w:rPr>
          <w:rFonts w:ascii="Times New Roman" w:hAnsi="Times New Roman"/>
          <w:sz w:val="26"/>
          <w:szCs w:val="26"/>
        </w:rPr>
        <w:t xml:space="preserve"> </w:t>
      </w:r>
      <w:r w:rsidRPr="00736333">
        <w:rPr>
          <w:rFonts w:ascii="Times New Roman" w:hAnsi="Times New Roman"/>
          <w:sz w:val="26"/>
          <w:szCs w:val="26"/>
        </w:rPr>
        <w:t xml:space="preserve">has not used the easement </w:t>
      </w:r>
      <w:r w:rsidR="00905078" w:rsidRPr="00736333">
        <w:rPr>
          <w:rFonts w:ascii="Times New Roman" w:hAnsi="Times New Roman"/>
          <w:sz w:val="26"/>
          <w:szCs w:val="26"/>
        </w:rPr>
        <w:t>for (</w:t>
      </w:r>
      <w:r w:rsidR="00D232ED" w:rsidRPr="00736333">
        <w:rPr>
          <w:rFonts w:ascii="Times New Roman" w:hAnsi="Times New Roman"/>
          <w:sz w:val="26"/>
          <w:szCs w:val="26"/>
          <w:u w:val="single"/>
        </w:rPr>
        <w:t>specify peri</w:t>
      </w:r>
      <w:r w:rsidRPr="00736333">
        <w:rPr>
          <w:rFonts w:ascii="Times New Roman" w:hAnsi="Times New Roman"/>
          <w:sz w:val="26"/>
          <w:szCs w:val="26"/>
          <w:u w:val="single"/>
        </w:rPr>
        <w:t>od of nonuse, e.g., three years</w:t>
      </w:r>
      <w:r w:rsidRPr="00736333">
        <w:rPr>
          <w:rFonts w:ascii="Times New Roman" w:hAnsi="Times New Roman"/>
          <w:sz w:val="26"/>
          <w:szCs w:val="26"/>
        </w:rPr>
        <w:t>)</w:t>
      </w:r>
      <w:r w:rsidR="00D232ED" w:rsidRPr="00736333">
        <w:rPr>
          <w:rFonts w:ascii="Times New Roman" w:hAnsi="Times New Roman"/>
          <w:sz w:val="26"/>
          <w:szCs w:val="26"/>
        </w:rPr>
        <w:t xml:space="preserve"> is not by itself proof of abandonment, but it is evidence that you ma</w:t>
      </w:r>
      <w:r w:rsidR="00905078">
        <w:rPr>
          <w:rFonts w:ascii="Times New Roman" w:hAnsi="Times New Roman"/>
          <w:sz w:val="26"/>
          <w:szCs w:val="26"/>
        </w:rPr>
        <w:t>y consider in deciding whether (he) (she) (it)</w:t>
      </w:r>
      <w:r w:rsidR="00D232ED" w:rsidRPr="00736333">
        <w:rPr>
          <w:rFonts w:ascii="Times New Roman" w:hAnsi="Times New Roman"/>
          <w:sz w:val="26"/>
          <w:szCs w:val="26"/>
        </w:rPr>
        <w:t xml:space="preserve"> intended to abandon the easement. You must find </w:t>
      </w:r>
      <w:r w:rsidRPr="00736333">
        <w:rPr>
          <w:rFonts w:ascii="Times New Roman" w:hAnsi="Times New Roman"/>
          <w:sz w:val="26"/>
          <w:szCs w:val="26"/>
        </w:rPr>
        <w:t>that (</w:t>
      </w:r>
      <w:r w:rsidR="00CA40D3" w:rsidRPr="00736333">
        <w:rPr>
          <w:rFonts w:ascii="Times New Roman" w:hAnsi="Times New Roman"/>
          <w:sz w:val="26"/>
          <w:szCs w:val="26"/>
          <w:u w:val="single"/>
        </w:rPr>
        <w:t>easement holder</w:t>
      </w:r>
      <w:r w:rsidRPr="00736333">
        <w:rPr>
          <w:rFonts w:ascii="Times New Roman" w:hAnsi="Times New Roman"/>
          <w:sz w:val="26"/>
          <w:szCs w:val="26"/>
        </w:rPr>
        <w:t>)</w:t>
      </w:r>
      <w:r w:rsidR="00D232ED" w:rsidRPr="00736333">
        <w:rPr>
          <w:rFonts w:ascii="Times New Roman" w:hAnsi="Times New Roman"/>
          <w:sz w:val="26"/>
          <w:szCs w:val="26"/>
        </w:rPr>
        <w:t xml:space="preserve">’s conduct </w:t>
      </w:r>
      <w:r w:rsidRPr="00736333">
        <w:rPr>
          <w:rFonts w:ascii="Times New Roman" w:hAnsi="Times New Roman"/>
          <w:sz w:val="26"/>
          <w:szCs w:val="26"/>
        </w:rPr>
        <w:t xml:space="preserve">clearly indicates an intention to </w:t>
      </w:r>
      <w:r w:rsidRPr="00736333">
        <w:rPr>
          <w:rFonts w:ascii="Times New Roman" w:eastAsiaTheme="minorHAnsi" w:hAnsi="Times New Roman"/>
          <w:iCs/>
          <w:sz w:val="26"/>
          <w:szCs w:val="26"/>
        </w:rPr>
        <w:t>give up the use of the easement for the future as well as for the present.</w:t>
      </w:r>
      <w:r w:rsidRPr="00736333">
        <w:rPr>
          <w:rFonts w:ascii="Times New Roman" w:eastAsiaTheme="minorHAnsi" w:hAnsi="Times New Roman"/>
          <w:iCs/>
          <w:sz w:val="22"/>
          <w:szCs w:val="22"/>
        </w:rPr>
        <w:t xml:space="preserve"> </w:t>
      </w:r>
    </w:p>
    <w:p w:rsidR="00F065E9" w:rsidRPr="00736333" w:rsidRDefault="00F065E9" w:rsidP="00905078">
      <w:pPr>
        <w:pStyle w:val="NoSpacing"/>
        <w:spacing w:line="480" w:lineRule="auto"/>
        <w:ind w:firstLine="450"/>
        <w:jc w:val="both"/>
        <w:rPr>
          <w:rFonts w:ascii="Times New Roman" w:eastAsiaTheme="minorHAnsi" w:hAnsi="Times New Roman"/>
          <w:iCs/>
          <w:sz w:val="26"/>
          <w:szCs w:val="26"/>
        </w:rPr>
      </w:pPr>
      <w:r w:rsidRPr="00736333">
        <w:rPr>
          <w:rFonts w:ascii="Times New Roman" w:eastAsiaTheme="minorHAnsi" w:hAnsi="Times New Roman"/>
          <w:iCs/>
          <w:sz w:val="26"/>
          <w:szCs w:val="26"/>
        </w:rPr>
        <w:t>[Conduct</w:t>
      </w:r>
      <w:r w:rsidR="0076047F" w:rsidRPr="00736333">
        <w:rPr>
          <w:rFonts w:ascii="Times New Roman" w:eastAsiaTheme="minorHAnsi" w:hAnsi="Times New Roman"/>
          <w:iCs/>
          <w:sz w:val="26"/>
          <w:szCs w:val="26"/>
        </w:rPr>
        <w:t>, that is</w:t>
      </w:r>
      <w:r w:rsidRPr="00736333">
        <w:rPr>
          <w:rFonts w:ascii="Times New Roman" w:eastAsiaTheme="minorHAnsi" w:hAnsi="Times New Roman"/>
          <w:iCs/>
          <w:sz w:val="26"/>
          <w:szCs w:val="26"/>
        </w:rPr>
        <w:t xml:space="preserve"> inconsistent w</w:t>
      </w:r>
      <w:r w:rsidR="00663C16" w:rsidRPr="00736333">
        <w:rPr>
          <w:rFonts w:ascii="Times New Roman" w:eastAsiaTheme="minorHAnsi" w:hAnsi="Times New Roman"/>
          <w:iCs/>
          <w:sz w:val="26"/>
          <w:szCs w:val="26"/>
        </w:rPr>
        <w:t xml:space="preserve">ith the continued </w:t>
      </w:r>
      <w:r w:rsidRPr="00736333">
        <w:rPr>
          <w:rFonts w:ascii="Times New Roman" w:eastAsiaTheme="minorHAnsi" w:hAnsi="Times New Roman"/>
          <w:iCs/>
          <w:sz w:val="26"/>
          <w:szCs w:val="26"/>
        </w:rPr>
        <w:t>use</w:t>
      </w:r>
      <w:r w:rsidR="00663C16" w:rsidRPr="00736333">
        <w:rPr>
          <w:rFonts w:ascii="Times New Roman" w:eastAsiaTheme="minorHAnsi" w:hAnsi="Times New Roman"/>
          <w:iCs/>
          <w:sz w:val="26"/>
          <w:szCs w:val="26"/>
        </w:rPr>
        <w:t xml:space="preserve"> of the easement</w:t>
      </w:r>
      <w:r w:rsidRPr="00736333">
        <w:rPr>
          <w:rFonts w:ascii="Times New Roman" w:eastAsiaTheme="minorHAnsi" w:hAnsi="Times New Roman"/>
          <w:iCs/>
          <w:sz w:val="26"/>
          <w:szCs w:val="26"/>
        </w:rPr>
        <w:t>, indicates an intention to give it up].</w:t>
      </w:r>
    </w:p>
    <w:p w:rsidR="00D232ED" w:rsidRDefault="007527D1" w:rsidP="00905078">
      <w:pPr>
        <w:pStyle w:val="NoSpacing"/>
        <w:spacing w:line="480" w:lineRule="auto"/>
        <w:ind w:firstLine="450"/>
        <w:jc w:val="both"/>
        <w:rPr>
          <w:rFonts w:ascii="Times New Roman" w:eastAsiaTheme="minorHAnsi" w:hAnsi="Times New Roman"/>
          <w:sz w:val="26"/>
          <w:szCs w:val="26"/>
        </w:rPr>
      </w:pPr>
      <w:r w:rsidRPr="00736333">
        <w:rPr>
          <w:rFonts w:ascii="Times New Roman" w:eastAsiaTheme="minorHAnsi" w:hAnsi="Times New Roman"/>
          <w:sz w:val="26"/>
          <w:szCs w:val="26"/>
        </w:rPr>
        <w:t>[</w:t>
      </w:r>
      <w:r w:rsidR="0076047F" w:rsidRPr="00736333">
        <w:rPr>
          <w:rFonts w:ascii="Times New Roman" w:hAnsi="Times New Roman"/>
          <w:b/>
          <w:sz w:val="26"/>
          <w:szCs w:val="26"/>
        </w:rPr>
        <w:t>Use this paragraph if there is evidence of</w:t>
      </w:r>
      <w:r w:rsidR="0076047F" w:rsidRPr="00736333">
        <w:rPr>
          <w:rFonts w:ascii="Times New Roman" w:eastAsiaTheme="minorHAnsi" w:hAnsi="Times New Roman"/>
          <w:sz w:val="26"/>
          <w:szCs w:val="26"/>
        </w:rPr>
        <w:t xml:space="preserve"> </w:t>
      </w:r>
      <w:r w:rsidR="0076047F" w:rsidRPr="00736333">
        <w:rPr>
          <w:rFonts w:ascii="Times New Roman" w:eastAsiaTheme="minorHAnsi" w:hAnsi="Times New Roman"/>
          <w:b/>
          <w:sz w:val="26"/>
          <w:szCs w:val="26"/>
        </w:rPr>
        <w:t xml:space="preserve">that </w:t>
      </w:r>
      <w:r w:rsidR="00736333" w:rsidRPr="00736333">
        <w:rPr>
          <w:rFonts w:ascii="Times New Roman" w:eastAsiaTheme="minorHAnsi" w:hAnsi="Times New Roman"/>
          <w:b/>
          <w:sz w:val="26"/>
          <w:szCs w:val="26"/>
        </w:rPr>
        <w:t xml:space="preserve">the </w:t>
      </w:r>
      <w:r w:rsidR="0076047F" w:rsidRPr="00736333">
        <w:rPr>
          <w:rFonts w:ascii="Times New Roman" w:eastAsiaTheme="minorHAnsi" w:hAnsi="Times New Roman"/>
          <w:b/>
          <w:sz w:val="26"/>
          <w:szCs w:val="26"/>
        </w:rPr>
        <w:t xml:space="preserve">easement holder made verbal expressions indicative on an intent to </w:t>
      </w:r>
      <w:proofErr w:type="gramStart"/>
      <w:r w:rsidR="0076047F" w:rsidRPr="00736333">
        <w:rPr>
          <w:rFonts w:ascii="Times New Roman" w:eastAsiaTheme="minorHAnsi" w:hAnsi="Times New Roman"/>
          <w:b/>
          <w:sz w:val="26"/>
          <w:szCs w:val="26"/>
        </w:rPr>
        <w:t xml:space="preserve">abandon: </w:t>
      </w:r>
      <w:r w:rsidR="0076047F" w:rsidRPr="00736333">
        <w:rPr>
          <w:rFonts w:ascii="Times New Roman" w:eastAsiaTheme="minorHAnsi" w:hAnsi="Times New Roman"/>
          <w:sz w:val="26"/>
          <w:szCs w:val="26"/>
        </w:rPr>
        <w:t>Verbal</w:t>
      </w:r>
      <w:proofErr w:type="gramEnd"/>
      <w:r w:rsidR="0076047F" w:rsidRPr="00736333">
        <w:rPr>
          <w:rFonts w:ascii="Times New Roman" w:eastAsiaTheme="minorHAnsi" w:hAnsi="Times New Roman"/>
          <w:sz w:val="26"/>
          <w:szCs w:val="26"/>
        </w:rPr>
        <w:t xml:space="preserve"> expressions,</w:t>
      </w:r>
      <w:r w:rsidR="00736333" w:rsidRPr="00736333">
        <w:rPr>
          <w:rFonts w:ascii="Times New Roman" w:eastAsiaTheme="minorHAnsi" w:hAnsi="Times New Roman"/>
          <w:sz w:val="26"/>
          <w:szCs w:val="26"/>
        </w:rPr>
        <w:t xml:space="preserve"> by themselves are insufficient to</w:t>
      </w:r>
      <w:r w:rsidR="0076047F" w:rsidRPr="00736333">
        <w:rPr>
          <w:rFonts w:ascii="Times New Roman" w:eastAsiaTheme="minorHAnsi" w:hAnsi="Times New Roman"/>
          <w:sz w:val="26"/>
          <w:szCs w:val="26"/>
        </w:rPr>
        <w:t xml:space="preserve"> constitute the type of conduct required to forgo all future uses authorized by an easement.  However, verbal expressions may give meaning to acts that indicate an intention to abandon an easement but do not conclusively demonstrate such an intention on their own.]</w:t>
      </w:r>
    </w:p>
    <w:p w:rsidR="003B16A7" w:rsidRDefault="003B16A7" w:rsidP="00905078">
      <w:pPr>
        <w:pStyle w:val="NoSpacing"/>
        <w:jc w:val="both"/>
        <w:rPr>
          <w:rFonts w:ascii="Times New Roman" w:eastAsiaTheme="minorHAnsi" w:hAnsi="Times New Roman"/>
          <w:sz w:val="26"/>
          <w:szCs w:val="26"/>
        </w:rPr>
      </w:pPr>
    </w:p>
    <w:p w:rsidR="00905078" w:rsidRPr="002028AF" w:rsidRDefault="00905078" w:rsidP="00905078">
      <w:pPr>
        <w:pStyle w:val="NoSpacing"/>
        <w:jc w:val="both"/>
        <w:rPr>
          <w:rFonts w:ascii="Times New Roman" w:eastAsiaTheme="minorHAnsi" w:hAnsi="Times New Roman"/>
          <w:sz w:val="26"/>
          <w:szCs w:val="26"/>
        </w:rPr>
      </w:pPr>
    </w:p>
    <w:p w:rsidR="00D232ED" w:rsidRPr="002028AF" w:rsidRDefault="00D232ED" w:rsidP="00905078">
      <w:pPr>
        <w:pStyle w:val="NoSpacing"/>
        <w:rPr>
          <w:rFonts w:ascii="Times New Roman" w:hAnsi="Times New Roman"/>
          <w:b/>
          <w:sz w:val="22"/>
          <w:szCs w:val="22"/>
        </w:rPr>
      </w:pPr>
      <w:r w:rsidRPr="002028AF">
        <w:rPr>
          <w:rFonts w:ascii="Times New Roman" w:hAnsi="Times New Roman"/>
          <w:b/>
          <w:sz w:val="22"/>
          <w:szCs w:val="22"/>
        </w:rPr>
        <w:t xml:space="preserve">COMMENT </w:t>
      </w:r>
    </w:p>
    <w:p w:rsidR="00AA21ED" w:rsidRPr="00AA21ED" w:rsidRDefault="00AA21ED" w:rsidP="00AA21ED">
      <w:pPr>
        <w:pStyle w:val="NoSpacing"/>
        <w:rPr>
          <w:rFonts w:ascii="Times New Roman" w:hAnsi="Times New Roman"/>
          <w:sz w:val="22"/>
          <w:szCs w:val="22"/>
        </w:rPr>
      </w:pPr>
    </w:p>
    <w:p w:rsidR="00AA21ED" w:rsidRDefault="00AA21ED" w:rsidP="00905078">
      <w:pPr>
        <w:pStyle w:val="NoSpacing"/>
        <w:ind w:firstLine="450"/>
        <w:rPr>
          <w:rFonts w:ascii="Times New Roman" w:hAnsi="Times New Roman"/>
          <w:sz w:val="22"/>
          <w:szCs w:val="22"/>
        </w:rPr>
      </w:pPr>
      <w:proofErr w:type="gramStart"/>
      <w:r w:rsidRPr="00AA21ED">
        <w:rPr>
          <w:rFonts w:ascii="Times New Roman" w:hAnsi="Times New Roman"/>
          <w:sz w:val="22"/>
          <w:szCs w:val="22"/>
        </w:rPr>
        <w:t>This instruction and comment were app</w:t>
      </w:r>
      <w:r w:rsidR="00CE36D2">
        <w:rPr>
          <w:rFonts w:ascii="Times New Roman" w:hAnsi="Times New Roman"/>
          <w:sz w:val="22"/>
          <w:szCs w:val="22"/>
        </w:rPr>
        <w:t>roved by the Committee</w:t>
      </w:r>
      <w:proofErr w:type="gramEnd"/>
      <w:r w:rsidR="00CE36D2">
        <w:rPr>
          <w:rFonts w:ascii="Times New Roman" w:hAnsi="Times New Roman"/>
          <w:sz w:val="22"/>
          <w:szCs w:val="22"/>
        </w:rPr>
        <w:t xml:space="preserve"> in September 2021</w:t>
      </w:r>
      <w:r w:rsidRPr="00AA21ED">
        <w:rPr>
          <w:rFonts w:ascii="Times New Roman" w:hAnsi="Times New Roman"/>
          <w:sz w:val="22"/>
          <w:szCs w:val="22"/>
        </w:rPr>
        <w:t>.</w:t>
      </w:r>
    </w:p>
    <w:p w:rsidR="00CE36D2" w:rsidRDefault="00CE36D2" w:rsidP="00F560B5">
      <w:pPr>
        <w:pStyle w:val="NoSpacing"/>
        <w:ind w:firstLine="720"/>
        <w:rPr>
          <w:rFonts w:ascii="Times New Roman" w:hAnsi="Times New Roman"/>
          <w:sz w:val="22"/>
          <w:szCs w:val="22"/>
        </w:rPr>
      </w:pPr>
    </w:p>
    <w:p w:rsidR="00736333" w:rsidRPr="00AA21ED" w:rsidRDefault="00736333" w:rsidP="00905078">
      <w:pPr>
        <w:pStyle w:val="NoSpacing"/>
        <w:ind w:firstLine="450"/>
        <w:rPr>
          <w:rFonts w:ascii="Times New Roman" w:hAnsi="Times New Roman"/>
          <w:sz w:val="22"/>
          <w:szCs w:val="22"/>
        </w:rPr>
      </w:pPr>
      <w:r w:rsidRPr="00D232ED">
        <w:rPr>
          <w:rFonts w:ascii="Times New Roman" w:hAnsi="Times New Roman"/>
          <w:sz w:val="22"/>
          <w:szCs w:val="22"/>
        </w:rPr>
        <w:t xml:space="preserve">This instruction </w:t>
      </w:r>
      <w:proofErr w:type="gramStart"/>
      <w:r w:rsidRPr="00D232ED">
        <w:rPr>
          <w:rFonts w:ascii="Times New Roman" w:hAnsi="Times New Roman"/>
          <w:sz w:val="22"/>
          <w:szCs w:val="22"/>
        </w:rPr>
        <w:t>should be used</w:t>
      </w:r>
      <w:proofErr w:type="gramEnd"/>
      <w:r w:rsidRPr="00D232ED">
        <w:rPr>
          <w:rFonts w:ascii="Times New Roman" w:hAnsi="Times New Roman"/>
          <w:sz w:val="22"/>
          <w:szCs w:val="22"/>
        </w:rPr>
        <w:t xml:space="preserve"> when a servient landowner sues or defends by claiming that the dominant owner’s easement has been abandoned. </w:t>
      </w:r>
    </w:p>
    <w:p w:rsidR="00AA21ED" w:rsidRPr="00AA21ED" w:rsidRDefault="00AA21ED" w:rsidP="00AA21ED">
      <w:pPr>
        <w:pStyle w:val="NoSpacing"/>
        <w:rPr>
          <w:rFonts w:ascii="Times New Roman" w:eastAsiaTheme="minorHAnsi" w:hAnsi="Times New Roman"/>
          <w:i/>
          <w:iCs/>
          <w:color w:val="212121"/>
          <w:sz w:val="22"/>
          <w:szCs w:val="22"/>
        </w:rPr>
      </w:pPr>
    </w:p>
    <w:p w:rsidR="00E9471F" w:rsidRPr="00E9471F" w:rsidRDefault="00AA21ED" w:rsidP="00905078">
      <w:pPr>
        <w:widowControl/>
        <w:ind w:firstLine="450"/>
        <w:jc w:val="both"/>
        <w:rPr>
          <w:rFonts w:ascii="Times New Roman" w:eastAsiaTheme="minorHAnsi" w:hAnsi="Times New Roman"/>
          <w:color w:val="212121"/>
          <w:sz w:val="22"/>
          <w:szCs w:val="22"/>
        </w:rPr>
      </w:pPr>
      <w:r w:rsidRPr="00E9471F">
        <w:rPr>
          <w:rFonts w:ascii="Times New Roman" w:eastAsiaTheme="minorHAnsi" w:hAnsi="Times New Roman"/>
          <w:iCs/>
          <w:color w:val="212121"/>
          <w:sz w:val="22"/>
          <w:szCs w:val="22"/>
        </w:rPr>
        <w:t>In</w:t>
      </w:r>
      <w:r w:rsidRPr="00E9471F">
        <w:rPr>
          <w:rFonts w:ascii="Times New Roman" w:eastAsiaTheme="minorHAnsi" w:hAnsi="Times New Roman"/>
          <w:i/>
          <w:iCs/>
          <w:color w:val="212121"/>
          <w:sz w:val="22"/>
          <w:szCs w:val="22"/>
        </w:rPr>
        <w:t xml:space="preserve"> </w:t>
      </w:r>
      <w:proofErr w:type="spellStart"/>
      <w:r w:rsidRPr="00E9471F">
        <w:rPr>
          <w:rFonts w:ascii="Times New Roman" w:eastAsiaTheme="minorHAnsi" w:hAnsi="Times New Roman"/>
          <w:iCs/>
          <w:color w:val="212121"/>
          <w:sz w:val="22"/>
          <w:szCs w:val="22"/>
          <w:u w:val="single"/>
        </w:rPr>
        <w:t>Burkman</w:t>
      </w:r>
      <w:proofErr w:type="spellEnd"/>
      <w:r w:rsidRPr="00E9471F">
        <w:rPr>
          <w:rFonts w:ascii="Times New Roman" w:eastAsiaTheme="minorHAnsi" w:hAnsi="Times New Roman"/>
          <w:iCs/>
          <w:color w:val="212121"/>
          <w:sz w:val="22"/>
          <w:szCs w:val="22"/>
          <w:u w:val="single"/>
        </w:rPr>
        <w:t xml:space="preserve"> v. New Lisbon</w:t>
      </w:r>
      <w:r w:rsidRPr="00E9471F">
        <w:rPr>
          <w:rFonts w:ascii="Times New Roman" w:eastAsiaTheme="minorHAnsi" w:hAnsi="Times New Roman"/>
          <w:i/>
          <w:iCs/>
          <w:color w:val="212121"/>
          <w:sz w:val="22"/>
          <w:szCs w:val="22"/>
        </w:rPr>
        <w:t xml:space="preserve">, </w:t>
      </w:r>
      <w:r w:rsidRPr="00E9471F">
        <w:rPr>
          <w:rFonts w:ascii="Times New Roman" w:eastAsiaTheme="minorHAnsi" w:hAnsi="Times New Roman"/>
          <w:color w:val="212121"/>
          <w:sz w:val="22"/>
          <w:szCs w:val="22"/>
        </w:rPr>
        <w:t>246</w:t>
      </w:r>
      <w:r w:rsidRPr="00E9471F">
        <w:rPr>
          <w:rFonts w:ascii="Times New Roman" w:hAnsi="Times New Roman"/>
          <w:sz w:val="22"/>
          <w:szCs w:val="22"/>
        </w:rPr>
        <w:t xml:space="preserve"> </w:t>
      </w:r>
      <w:r w:rsidRPr="00E9471F">
        <w:rPr>
          <w:rFonts w:ascii="Times New Roman" w:eastAsiaTheme="minorHAnsi" w:hAnsi="Times New Roman"/>
          <w:color w:val="212121"/>
          <w:sz w:val="22"/>
          <w:szCs w:val="22"/>
        </w:rPr>
        <w:t>Wis. 547, 18 N.W.2d 4 (1945), the Wisconsin Supreme Court adopted comments (c) and (d) of the RESTATEMENT OF THE LAW OF PROPERTY, VOL. V, § 504 (1940) to determine whether flowage rights acquired by prescription were lost by abandonment.</w:t>
      </w:r>
      <w:r w:rsidR="00E9471F" w:rsidRPr="00E9471F">
        <w:rPr>
          <w:rFonts w:ascii="Times New Roman" w:eastAsiaTheme="minorHAnsi" w:hAnsi="Times New Roman"/>
          <w:color w:val="212121"/>
          <w:sz w:val="22"/>
          <w:szCs w:val="22"/>
        </w:rPr>
        <w:t xml:space="preserve"> Comments (c) and (d) read as follows:</w:t>
      </w:r>
    </w:p>
    <w:p w:rsidR="00E9471F" w:rsidRDefault="00E9471F" w:rsidP="00E9471F">
      <w:pPr>
        <w:widowControl/>
        <w:rPr>
          <w:rFonts w:ascii="TimesNewRomanPS-ItalicMT" w:eastAsiaTheme="minorHAnsi" w:hAnsi="TimesNewRomanPS-ItalicMT" w:cs="TimesNewRomanPS-ItalicMT"/>
          <w:i/>
          <w:iCs/>
          <w:color w:val="212121"/>
          <w:sz w:val="20"/>
          <w:szCs w:val="20"/>
        </w:rPr>
      </w:pPr>
    </w:p>
    <w:p w:rsidR="00E9471F" w:rsidRPr="001640D0" w:rsidRDefault="00E9471F" w:rsidP="00905078">
      <w:pPr>
        <w:widowControl/>
        <w:ind w:left="450" w:right="450"/>
        <w:jc w:val="both"/>
        <w:rPr>
          <w:rFonts w:ascii="Times New Roman" w:eastAsiaTheme="minorHAnsi" w:hAnsi="Times New Roman"/>
          <w:color w:val="212121"/>
          <w:sz w:val="22"/>
          <w:szCs w:val="22"/>
        </w:rPr>
      </w:pPr>
      <w:r w:rsidRPr="001640D0">
        <w:rPr>
          <w:rFonts w:ascii="Times New Roman" w:eastAsiaTheme="minorHAnsi" w:hAnsi="Times New Roman"/>
          <w:iCs/>
          <w:color w:val="212121"/>
          <w:sz w:val="22"/>
          <w:szCs w:val="22"/>
        </w:rPr>
        <w:t xml:space="preserve">c. Conduct as to Use. </w:t>
      </w:r>
      <w:r w:rsidRPr="001640D0">
        <w:rPr>
          <w:rFonts w:ascii="Times New Roman" w:eastAsiaTheme="minorHAnsi" w:hAnsi="Times New Roman"/>
          <w:color w:val="212121"/>
          <w:sz w:val="22"/>
          <w:szCs w:val="22"/>
        </w:rPr>
        <w:t xml:space="preserve">An intentional relinquishment of an easement indicated by conduct respecting the use authorized by it constitutes an abandonment of the easement. The intention required in the abandonment of an easement is the intention not to make in the future the uses authorized by it. The benefit of an easement lies in the privilege of use of the land subject to it. </w:t>
      </w:r>
      <w:r w:rsidRPr="001640D0">
        <w:rPr>
          <w:rFonts w:ascii="Times New Roman" w:eastAsiaTheme="minorHAnsi" w:hAnsi="Times New Roman"/>
          <w:iCs/>
          <w:color w:val="212121"/>
          <w:sz w:val="22"/>
          <w:szCs w:val="22"/>
        </w:rPr>
        <w:t xml:space="preserve">There is no abandonment unless there is a giving up of that use. The giving up must be evidenced by conduct respecting the use of such a character as to indicate an intention to give up the use for the future as well as for the present. Conduct, when inconsistent with the continuance of the use, indicates an intention to give it up. </w:t>
      </w:r>
      <w:r w:rsidRPr="001640D0">
        <w:rPr>
          <w:rFonts w:ascii="Times New Roman" w:eastAsiaTheme="minorHAnsi" w:hAnsi="Times New Roman"/>
          <w:color w:val="212121"/>
          <w:sz w:val="22"/>
          <w:szCs w:val="22"/>
        </w:rPr>
        <w:t>The conduct required for abandonment cannot consist of verbal expressions of intention. Such expressions are effective to extinguish an easement only when they comply with the requirements of a release and operate as such. Verbal expressions of an intention to abandon are relevant, however, for the purpose of giving meaning to acts which are susceptible of being interpreted as indicating an intention to give up the use authorized by an easement, but which do not give themselves conclusively demonstrate the intention which animated them.</w:t>
      </w:r>
    </w:p>
    <w:p w:rsidR="00E9471F" w:rsidRPr="001640D0" w:rsidRDefault="00E9471F" w:rsidP="00905078">
      <w:pPr>
        <w:widowControl/>
        <w:ind w:left="450" w:right="450"/>
        <w:jc w:val="both"/>
        <w:rPr>
          <w:rFonts w:ascii="Times New Roman" w:eastAsiaTheme="minorHAnsi" w:hAnsi="Times New Roman"/>
          <w:iCs/>
          <w:color w:val="212121"/>
          <w:sz w:val="22"/>
          <w:szCs w:val="22"/>
        </w:rPr>
      </w:pPr>
    </w:p>
    <w:p w:rsidR="00AA21ED" w:rsidRDefault="00E9471F" w:rsidP="00905078">
      <w:pPr>
        <w:widowControl/>
        <w:ind w:left="450" w:right="450"/>
        <w:jc w:val="both"/>
        <w:rPr>
          <w:rFonts w:ascii="Times New Roman" w:eastAsiaTheme="minorHAnsi" w:hAnsi="Times New Roman"/>
          <w:color w:val="212121"/>
          <w:sz w:val="22"/>
          <w:szCs w:val="22"/>
        </w:rPr>
      </w:pPr>
      <w:r w:rsidRPr="001640D0">
        <w:rPr>
          <w:rFonts w:ascii="Times New Roman" w:eastAsiaTheme="minorHAnsi" w:hAnsi="Times New Roman"/>
          <w:iCs/>
          <w:color w:val="212121"/>
          <w:sz w:val="22"/>
          <w:szCs w:val="22"/>
        </w:rPr>
        <w:t>d. Non</w:t>
      </w:r>
      <w:r w:rsidR="007D1AE6">
        <w:rPr>
          <w:rFonts w:ascii="Times New Roman" w:eastAsiaTheme="minorHAnsi" w:hAnsi="Times New Roman"/>
          <w:iCs/>
          <w:color w:val="212121"/>
          <w:sz w:val="22"/>
          <w:szCs w:val="22"/>
        </w:rPr>
        <w:t>-</w:t>
      </w:r>
      <w:r w:rsidRPr="001640D0">
        <w:rPr>
          <w:rFonts w:ascii="Times New Roman" w:eastAsiaTheme="minorHAnsi" w:hAnsi="Times New Roman"/>
          <w:iCs/>
          <w:color w:val="212121"/>
          <w:sz w:val="22"/>
          <w:szCs w:val="22"/>
        </w:rPr>
        <w:t xml:space="preserve">use. </w:t>
      </w:r>
      <w:r w:rsidRPr="001640D0">
        <w:rPr>
          <w:rFonts w:ascii="Times New Roman" w:eastAsiaTheme="minorHAnsi" w:hAnsi="Times New Roman"/>
          <w:color w:val="212121"/>
          <w:sz w:val="22"/>
          <w:szCs w:val="22"/>
        </w:rPr>
        <w:t xml:space="preserve">Conduct from which an intention to abandon an easement may be inferred may consist in a failure to make the use authorized. </w:t>
      </w:r>
      <w:r w:rsidRPr="001640D0">
        <w:rPr>
          <w:rFonts w:ascii="Times New Roman" w:eastAsiaTheme="minorHAnsi" w:hAnsi="Times New Roman"/>
          <w:iCs/>
          <w:color w:val="212121"/>
          <w:sz w:val="22"/>
          <w:szCs w:val="22"/>
        </w:rPr>
        <w:t>Non</w:t>
      </w:r>
      <w:r w:rsidR="007D1AE6">
        <w:rPr>
          <w:rFonts w:ascii="Times New Roman" w:eastAsiaTheme="minorHAnsi" w:hAnsi="Times New Roman"/>
          <w:iCs/>
          <w:color w:val="212121"/>
          <w:sz w:val="22"/>
          <w:szCs w:val="22"/>
        </w:rPr>
        <w:t>-</w:t>
      </w:r>
      <w:r w:rsidRPr="001640D0">
        <w:rPr>
          <w:rFonts w:ascii="Times New Roman" w:eastAsiaTheme="minorHAnsi" w:hAnsi="Times New Roman"/>
          <w:iCs/>
          <w:color w:val="212121"/>
          <w:sz w:val="22"/>
          <w:szCs w:val="22"/>
        </w:rPr>
        <w:t xml:space="preserve">use </w:t>
      </w:r>
      <w:proofErr w:type="gramStart"/>
      <w:r w:rsidRPr="001640D0">
        <w:rPr>
          <w:rFonts w:ascii="Times New Roman" w:eastAsiaTheme="minorHAnsi" w:hAnsi="Times New Roman"/>
          <w:iCs/>
          <w:color w:val="212121"/>
          <w:sz w:val="22"/>
          <w:szCs w:val="22"/>
        </w:rPr>
        <w:t>does not of itself produce</w:t>
      </w:r>
      <w:proofErr w:type="gramEnd"/>
      <w:r w:rsidRPr="001640D0">
        <w:rPr>
          <w:rFonts w:ascii="Times New Roman" w:eastAsiaTheme="minorHAnsi" w:hAnsi="Times New Roman"/>
          <w:iCs/>
          <w:color w:val="212121"/>
          <w:sz w:val="22"/>
          <w:szCs w:val="22"/>
        </w:rPr>
        <w:t xml:space="preserve"> an abandonment no matter how long continued. </w:t>
      </w:r>
      <w:r w:rsidRPr="001640D0">
        <w:rPr>
          <w:rFonts w:ascii="Times New Roman" w:eastAsiaTheme="minorHAnsi" w:hAnsi="Times New Roman"/>
          <w:color w:val="212121"/>
          <w:sz w:val="22"/>
          <w:szCs w:val="22"/>
        </w:rPr>
        <w:t xml:space="preserve">It but evidences the necessary intention. Its effectiveness as evidence is dependent upon the circumstances. Under some </w:t>
      </w:r>
      <w:proofErr w:type="gramStart"/>
      <w:r w:rsidRPr="001640D0">
        <w:rPr>
          <w:rFonts w:ascii="Times New Roman" w:eastAsiaTheme="minorHAnsi" w:hAnsi="Times New Roman"/>
          <w:color w:val="212121"/>
          <w:sz w:val="22"/>
          <w:szCs w:val="22"/>
        </w:rPr>
        <w:t>circumstances</w:t>
      </w:r>
      <w:proofErr w:type="gramEnd"/>
      <w:r w:rsidRPr="001640D0">
        <w:rPr>
          <w:rFonts w:ascii="Times New Roman" w:eastAsiaTheme="minorHAnsi" w:hAnsi="Times New Roman"/>
          <w:color w:val="212121"/>
          <w:sz w:val="22"/>
          <w:szCs w:val="22"/>
        </w:rPr>
        <w:t xml:space="preserve"> a relatively short period of non</w:t>
      </w:r>
      <w:r w:rsidR="007D1AE6">
        <w:rPr>
          <w:rFonts w:ascii="Times New Roman" w:eastAsiaTheme="minorHAnsi" w:hAnsi="Times New Roman"/>
          <w:color w:val="212121"/>
          <w:sz w:val="22"/>
          <w:szCs w:val="22"/>
        </w:rPr>
        <w:t>-</w:t>
      </w:r>
      <w:r w:rsidRPr="001640D0">
        <w:rPr>
          <w:rFonts w:ascii="Times New Roman" w:eastAsiaTheme="minorHAnsi" w:hAnsi="Times New Roman"/>
          <w:color w:val="212121"/>
          <w:sz w:val="22"/>
          <w:szCs w:val="22"/>
        </w:rPr>
        <w:t xml:space="preserve">use may be sufficient to give rise to the necessary inference; under other circumstances a relatively long period may be insufficient. </w:t>
      </w:r>
      <w:r w:rsidRPr="001640D0">
        <w:rPr>
          <w:rFonts w:ascii="Times New Roman" w:eastAsiaTheme="minorHAnsi" w:hAnsi="Times New Roman"/>
          <w:iCs/>
          <w:color w:val="212121"/>
          <w:sz w:val="22"/>
          <w:szCs w:val="22"/>
        </w:rPr>
        <w:t xml:space="preserve">The duration of the period of nonuse, though never conclusive as to the intention to abandon, </w:t>
      </w:r>
      <w:r w:rsidRPr="001640D0">
        <w:rPr>
          <w:rFonts w:ascii="Times New Roman" w:eastAsiaTheme="minorHAnsi" w:hAnsi="Times New Roman"/>
          <w:color w:val="212121"/>
          <w:sz w:val="22"/>
          <w:szCs w:val="22"/>
        </w:rPr>
        <w:t>is</w:t>
      </w:r>
      <w:r w:rsidRPr="001640D0">
        <w:rPr>
          <w:rFonts w:ascii="Times New Roman" w:eastAsiaTheme="minorHAnsi" w:hAnsi="Times New Roman"/>
          <w:iCs/>
          <w:color w:val="212121"/>
          <w:sz w:val="22"/>
          <w:szCs w:val="22"/>
        </w:rPr>
        <w:t xml:space="preserve"> </w:t>
      </w:r>
      <w:r w:rsidRPr="001640D0">
        <w:rPr>
          <w:rFonts w:ascii="Times New Roman" w:eastAsiaTheme="minorHAnsi" w:hAnsi="Times New Roman"/>
          <w:color w:val="212121"/>
          <w:sz w:val="22"/>
          <w:szCs w:val="22"/>
        </w:rPr>
        <w:t xml:space="preserve">ordinarily admissible </w:t>
      </w:r>
      <w:proofErr w:type="gramStart"/>
      <w:r w:rsidRPr="001640D0">
        <w:rPr>
          <w:rFonts w:ascii="Times New Roman" w:eastAsiaTheme="minorHAnsi" w:hAnsi="Times New Roman"/>
          <w:color w:val="212121"/>
          <w:sz w:val="22"/>
          <w:szCs w:val="22"/>
        </w:rPr>
        <w:t>for the purpose of</w:t>
      </w:r>
      <w:proofErr w:type="gramEnd"/>
      <w:r w:rsidRPr="001640D0">
        <w:rPr>
          <w:rFonts w:ascii="Times New Roman" w:eastAsiaTheme="minorHAnsi" w:hAnsi="Times New Roman"/>
          <w:color w:val="212121"/>
          <w:sz w:val="22"/>
          <w:szCs w:val="22"/>
        </w:rPr>
        <w:t xml:space="preserve"> showing intention in that regard. (Emphasis added).</w:t>
      </w:r>
    </w:p>
    <w:p w:rsidR="001640D0" w:rsidRDefault="001640D0" w:rsidP="001640D0">
      <w:pPr>
        <w:widowControl/>
        <w:ind w:right="720"/>
        <w:jc w:val="both"/>
        <w:rPr>
          <w:rFonts w:ascii="Times New Roman" w:eastAsiaTheme="minorHAnsi" w:hAnsi="Times New Roman"/>
          <w:color w:val="212121"/>
          <w:sz w:val="22"/>
          <w:szCs w:val="22"/>
        </w:rPr>
      </w:pPr>
    </w:p>
    <w:p w:rsidR="001640D0" w:rsidRPr="001640D0" w:rsidRDefault="001640D0" w:rsidP="00905078">
      <w:pPr>
        <w:widowControl/>
        <w:ind w:firstLine="450"/>
        <w:jc w:val="both"/>
        <w:rPr>
          <w:rFonts w:ascii="Times New Roman" w:eastAsiaTheme="minorHAnsi" w:hAnsi="Times New Roman"/>
          <w:color w:val="212121"/>
          <w:sz w:val="22"/>
          <w:szCs w:val="22"/>
        </w:rPr>
      </w:pPr>
      <w:r>
        <w:rPr>
          <w:rFonts w:ascii="Times New Roman" w:eastAsiaTheme="minorHAnsi" w:hAnsi="Times New Roman"/>
          <w:color w:val="212121"/>
          <w:sz w:val="22"/>
          <w:szCs w:val="22"/>
        </w:rPr>
        <w:t>C</w:t>
      </w:r>
      <w:r w:rsidRPr="00E9471F">
        <w:rPr>
          <w:rFonts w:ascii="Times New Roman" w:eastAsiaTheme="minorHAnsi" w:hAnsi="Times New Roman"/>
          <w:color w:val="212121"/>
          <w:sz w:val="22"/>
          <w:szCs w:val="22"/>
        </w:rPr>
        <w:t>omments (c) and (d) of the RESTATEMENT OF THE LAW OF PROPERTY, VOL. V, § 504 (1940)</w:t>
      </w:r>
      <w:r>
        <w:rPr>
          <w:rFonts w:ascii="Times New Roman" w:eastAsiaTheme="minorHAnsi" w:hAnsi="Times New Roman"/>
          <w:color w:val="212121"/>
          <w:sz w:val="22"/>
          <w:szCs w:val="22"/>
        </w:rPr>
        <w:t xml:space="preserve"> were also adopted by the Wisconsin Court of Appeals in </w:t>
      </w:r>
      <w:r w:rsidRPr="001640D0">
        <w:rPr>
          <w:rFonts w:ascii="Times New Roman" w:eastAsiaTheme="minorHAnsi" w:hAnsi="Times New Roman"/>
          <w:color w:val="212121"/>
          <w:sz w:val="22"/>
          <w:szCs w:val="22"/>
          <w:u w:val="single"/>
        </w:rPr>
        <w:t xml:space="preserve">Spencer v. </w:t>
      </w:r>
      <w:proofErr w:type="spellStart"/>
      <w:r w:rsidRPr="001640D0">
        <w:rPr>
          <w:rFonts w:ascii="Times New Roman" w:eastAsiaTheme="minorHAnsi" w:hAnsi="Times New Roman"/>
          <w:color w:val="212121"/>
          <w:sz w:val="22"/>
          <w:szCs w:val="22"/>
          <w:u w:val="single"/>
        </w:rPr>
        <w:t>Kosir</w:t>
      </w:r>
      <w:proofErr w:type="spellEnd"/>
      <w:r>
        <w:rPr>
          <w:rFonts w:ascii="Times New Roman" w:eastAsiaTheme="minorHAnsi" w:hAnsi="Times New Roman"/>
          <w:color w:val="212121"/>
          <w:sz w:val="22"/>
          <w:szCs w:val="22"/>
        </w:rPr>
        <w:t>, 2007 WI App 135,</w:t>
      </w:r>
      <w:r w:rsidR="009B0CF0">
        <w:rPr>
          <w:rFonts w:ascii="Times New Roman" w:eastAsiaTheme="minorHAnsi" w:hAnsi="Times New Roman"/>
          <w:color w:val="212121"/>
          <w:sz w:val="22"/>
          <w:szCs w:val="22"/>
        </w:rPr>
        <w:t xml:space="preserve"> 301 Wis.2d 521, 733 N.W.2d 921 and </w:t>
      </w:r>
      <w:r w:rsidR="009B0CF0" w:rsidRPr="009B0CF0">
        <w:rPr>
          <w:rFonts w:ascii="Times New Roman" w:eastAsiaTheme="minorHAnsi" w:hAnsi="Times New Roman"/>
          <w:color w:val="212121"/>
          <w:sz w:val="22"/>
          <w:szCs w:val="22"/>
          <w:u w:val="single"/>
        </w:rPr>
        <w:t xml:space="preserve">Bohn v. </w:t>
      </w:r>
      <w:proofErr w:type="spellStart"/>
      <w:r w:rsidR="009B0CF0" w:rsidRPr="009B0CF0">
        <w:rPr>
          <w:rFonts w:ascii="Times New Roman" w:eastAsiaTheme="minorHAnsi" w:hAnsi="Times New Roman"/>
          <w:color w:val="212121"/>
          <w:sz w:val="22"/>
          <w:szCs w:val="22"/>
          <w:u w:val="single"/>
        </w:rPr>
        <w:t>Leiber</w:t>
      </w:r>
      <w:proofErr w:type="spellEnd"/>
      <w:r w:rsidR="009B0CF0">
        <w:rPr>
          <w:rFonts w:ascii="Times New Roman" w:eastAsiaTheme="minorHAnsi" w:hAnsi="Times New Roman"/>
          <w:color w:val="212121"/>
          <w:sz w:val="22"/>
          <w:szCs w:val="22"/>
        </w:rPr>
        <w:t xml:space="preserve">, 2020 WI App 52, 393 Wis.2d 757, 948 N.W.2d 370. </w:t>
      </w:r>
    </w:p>
    <w:p w:rsidR="000575FC" w:rsidRDefault="000575FC" w:rsidP="000575FC">
      <w:pPr>
        <w:widowControl/>
        <w:jc w:val="both"/>
        <w:rPr>
          <w:rFonts w:ascii="Times New Roman" w:eastAsiaTheme="minorHAnsi" w:hAnsi="Times New Roman"/>
          <w:color w:val="212121"/>
          <w:sz w:val="22"/>
          <w:szCs w:val="22"/>
        </w:rPr>
      </w:pPr>
    </w:p>
    <w:p w:rsidR="00E15A33" w:rsidRPr="008927D0" w:rsidRDefault="00F26DAA" w:rsidP="00905078">
      <w:pPr>
        <w:widowControl/>
        <w:ind w:firstLine="450"/>
        <w:jc w:val="both"/>
        <w:rPr>
          <w:rFonts w:ascii="Times New Roman" w:eastAsiaTheme="minorHAnsi" w:hAnsi="Times New Roman"/>
          <w:color w:val="212121"/>
          <w:sz w:val="22"/>
          <w:szCs w:val="22"/>
        </w:rPr>
      </w:pPr>
      <w:r>
        <w:rPr>
          <w:rStyle w:val="Strong"/>
          <w:rFonts w:ascii="Times New Roman" w:hAnsi="Times New Roman"/>
          <w:color w:val="0E101A"/>
          <w:sz w:val="22"/>
          <w:szCs w:val="22"/>
        </w:rPr>
        <w:t>Demonstrating an i</w:t>
      </w:r>
      <w:r w:rsidR="000575FC" w:rsidRPr="000575FC">
        <w:rPr>
          <w:rStyle w:val="Strong"/>
          <w:rFonts w:ascii="Times New Roman" w:hAnsi="Times New Roman"/>
          <w:color w:val="0E101A"/>
          <w:sz w:val="22"/>
          <w:szCs w:val="22"/>
        </w:rPr>
        <w:t xml:space="preserve">ntention </w:t>
      </w:r>
      <w:proofErr w:type="gramStart"/>
      <w:r w:rsidR="000575FC" w:rsidRPr="000575FC">
        <w:rPr>
          <w:rStyle w:val="Strong"/>
          <w:rFonts w:ascii="Times New Roman" w:hAnsi="Times New Roman"/>
          <w:color w:val="0E101A"/>
          <w:sz w:val="22"/>
          <w:szCs w:val="22"/>
        </w:rPr>
        <w:t>t</w:t>
      </w:r>
      <w:r>
        <w:rPr>
          <w:rStyle w:val="Strong"/>
          <w:rFonts w:ascii="Times New Roman" w:hAnsi="Times New Roman"/>
          <w:color w:val="0E101A"/>
          <w:sz w:val="22"/>
          <w:szCs w:val="22"/>
        </w:rPr>
        <w:t>o permanently abandon</w:t>
      </w:r>
      <w:proofErr w:type="gramEnd"/>
      <w:r w:rsidR="000575FC" w:rsidRPr="000575FC">
        <w:rPr>
          <w:rFonts w:ascii="Times New Roman" w:hAnsi="Times New Roman"/>
          <w:sz w:val="22"/>
          <w:szCs w:val="22"/>
        </w:rPr>
        <w:t>.</w:t>
      </w:r>
      <w:r w:rsidR="000575FC" w:rsidRPr="00E15A33">
        <w:rPr>
          <w:rFonts w:ascii="Times New Roman" w:hAnsi="Times New Roman"/>
          <w:sz w:val="22"/>
          <w:szCs w:val="22"/>
        </w:rPr>
        <w:t xml:space="preserve"> </w:t>
      </w:r>
      <w:r w:rsidR="00E15A33" w:rsidRPr="00E15A33">
        <w:rPr>
          <w:rFonts w:ascii="Times New Roman" w:eastAsiaTheme="minorHAnsi" w:hAnsi="Times New Roman"/>
          <w:color w:val="212121"/>
          <w:sz w:val="22"/>
          <w:szCs w:val="22"/>
        </w:rPr>
        <w:t xml:space="preserve">In </w:t>
      </w:r>
      <w:r w:rsidR="00E15A33" w:rsidRPr="00E15A33">
        <w:rPr>
          <w:rFonts w:ascii="Times New Roman" w:eastAsiaTheme="minorHAnsi" w:hAnsi="Times New Roman"/>
          <w:color w:val="212121"/>
          <w:sz w:val="22"/>
          <w:szCs w:val="22"/>
          <w:u w:val="single"/>
        </w:rPr>
        <w:t xml:space="preserve">Spencer v. </w:t>
      </w:r>
      <w:proofErr w:type="spellStart"/>
      <w:r w:rsidR="00E15A33" w:rsidRPr="00E15A33">
        <w:rPr>
          <w:rFonts w:ascii="Times New Roman" w:eastAsiaTheme="minorHAnsi" w:hAnsi="Times New Roman"/>
          <w:color w:val="212121"/>
          <w:sz w:val="22"/>
          <w:szCs w:val="22"/>
          <w:u w:val="single"/>
        </w:rPr>
        <w:t>Kosir</w:t>
      </w:r>
      <w:proofErr w:type="spellEnd"/>
      <w:r w:rsidR="00E15A33" w:rsidRPr="00E15A33">
        <w:rPr>
          <w:rFonts w:ascii="Times New Roman" w:eastAsiaTheme="minorHAnsi" w:hAnsi="Times New Roman"/>
          <w:color w:val="212121"/>
          <w:sz w:val="22"/>
          <w:szCs w:val="22"/>
        </w:rPr>
        <w:t xml:space="preserve">, 2007 WI App 135, 301 Wis.2d 521, </w:t>
      </w:r>
      <w:r w:rsidR="00E15A33">
        <w:rPr>
          <w:rFonts w:ascii="Times New Roman" w:eastAsiaTheme="minorHAnsi" w:hAnsi="Times New Roman"/>
          <w:color w:val="212121"/>
          <w:sz w:val="22"/>
          <w:szCs w:val="22"/>
        </w:rPr>
        <w:t xml:space="preserve">¶10, </w:t>
      </w:r>
      <w:r w:rsidR="00E15A33" w:rsidRPr="00E15A33">
        <w:rPr>
          <w:rFonts w:ascii="Times New Roman" w:eastAsiaTheme="minorHAnsi" w:hAnsi="Times New Roman"/>
          <w:color w:val="212121"/>
          <w:sz w:val="22"/>
          <w:szCs w:val="22"/>
        </w:rPr>
        <w:t xml:space="preserve">733 N.W.2d 921, </w:t>
      </w:r>
      <w:r w:rsidR="00E15A33" w:rsidRPr="00E15A33">
        <w:rPr>
          <w:rFonts w:ascii="Times New Roman" w:hAnsi="Times New Roman"/>
          <w:sz w:val="22"/>
          <w:szCs w:val="22"/>
        </w:rPr>
        <w:t xml:space="preserve">the Wisconsin Court of Appeals </w:t>
      </w:r>
      <w:r w:rsidR="00E15A33" w:rsidRPr="00E15A33">
        <w:rPr>
          <w:rFonts w:ascii="Times New Roman" w:eastAsiaTheme="minorHAnsi" w:hAnsi="Times New Roman"/>
          <w:color w:val="212121"/>
          <w:sz w:val="22"/>
          <w:szCs w:val="22"/>
        </w:rPr>
        <w:t>noted the requirement that there be an “affirmative act” by the easement holder, rather than the property owner, to show abandonment.</w:t>
      </w:r>
      <w:r w:rsidR="00E15A33">
        <w:rPr>
          <w:rFonts w:ascii="Times New Roman" w:eastAsiaTheme="minorHAnsi" w:hAnsi="Times New Roman"/>
          <w:color w:val="212121"/>
          <w:sz w:val="22"/>
          <w:szCs w:val="22"/>
        </w:rPr>
        <w:t xml:space="preserve"> </w:t>
      </w:r>
      <w:r w:rsidR="00BD42F6" w:rsidRPr="008927D0">
        <w:rPr>
          <w:rFonts w:ascii="Times New Roman" w:eastAsiaTheme="minorHAnsi" w:hAnsi="Times New Roman"/>
          <w:color w:val="212121"/>
          <w:sz w:val="22"/>
          <w:szCs w:val="22"/>
        </w:rPr>
        <w:t>For example</w:t>
      </w:r>
      <w:r w:rsidR="00E15A33" w:rsidRPr="008927D0">
        <w:rPr>
          <w:rFonts w:ascii="Times New Roman" w:eastAsiaTheme="minorHAnsi" w:hAnsi="Times New Roman"/>
          <w:color w:val="212121"/>
          <w:sz w:val="22"/>
          <w:szCs w:val="22"/>
        </w:rPr>
        <w:t>, despite a significant period of non-use by the easement holder</w:t>
      </w:r>
      <w:r w:rsidR="0042293E">
        <w:rPr>
          <w:rFonts w:ascii="Times New Roman" w:eastAsiaTheme="minorHAnsi" w:hAnsi="Times New Roman"/>
          <w:color w:val="212121"/>
          <w:sz w:val="22"/>
          <w:szCs w:val="22"/>
        </w:rPr>
        <w:t xml:space="preserve">, along with </w:t>
      </w:r>
      <w:r w:rsidR="00BD42F6" w:rsidRPr="008927D0">
        <w:rPr>
          <w:rFonts w:ascii="Times New Roman" w:eastAsiaTheme="minorHAnsi" w:hAnsi="Times New Roman"/>
          <w:color w:val="212121"/>
          <w:sz w:val="22"/>
          <w:szCs w:val="22"/>
        </w:rPr>
        <w:t>acquiescence in the property o</w:t>
      </w:r>
      <w:r w:rsidR="0042293E">
        <w:rPr>
          <w:rFonts w:ascii="Times New Roman" w:eastAsiaTheme="minorHAnsi" w:hAnsi="Times New Roman"/>
          <w:color w:val="212121"/>
          <w:sz w:val="22"/>
          <w:szCs w:val="22"/>
        </w:rPr>
        <w:t>wner</w:t>
      </w:r>
      <w:proofErr w:type="gramStart"/>
      <w:r w:rsidR="0042293E">
        <w:rPr>
          <w:rFonts w:ascii="Times New Roman" w:eastAsiaTheme="minorHAnsi" w:hAnsi="Times New Roman"/>
          <w:color w:val="212121"/>
          <w:sz w:val="22"/>
          <w:szCs w:val="22"/>
        </w:rPr>
        <w:t>’</w:t>
      </w:r>
      <w:r w:rsidR="00BD42F6" w:rsidRPr="008927D0">
        <w:rPr>
          <w:rFonts w:ascii="Times New Roman" w:eastAsiaTheme="minorHAnsi" w:hAnsi="Times New Roman"/>
          <w:color w:val="212121"/>
          <w:sz w:val="22"/>
          <w:szCs w:val="22"/>
        </w:rPr>
        <w:t>s non-permitted use of the property, the court found</w:t>
      </w:r>
      <w:proofErr w:type="gramEnd"/>
      <w:r w:rsidR="00BD42F6" w:rsidRPr="008927D0">
        <w:rPr>
          <w:rFonts w:ascii="Times New Roman" w:eastAsiaTheme="minorHAnsi" w:hAnsi="Times New Roman"/>
          <w:color w:val="212121"/>
          <w:sz w:val="22"/>
          <w:szCs w:val="22"/>
        </w:rPr>
        <w:t xml:space="preserve"> no abandonment</w:t>
      </w:r>
      <w:r w:rsidR="008927D0">
        <w:rPr>
          <w:rFonts w:ascii="Times New Roman" w:eastAsiaTheme="minorHAnsi" w:hAnsi="Times New Roman"/>
          <w:color w:val="212121"/>
          <w:sz w:val="22"/>
          <w:szCs w:val="22"/>
        </w:rPr>
        <w:t xml:space="preserve"> si</w:t>
      </w:r>
      <w:r w:rsidR="00F560B5">
        <w:rPr>
          <w:rFonts w:ascii="Times New Roman" w:eastAsiaTheme="minorHAnsi" w:hAnsi="Times New Roman"/>
          <w:color w:val="212121"/>
          <w:sz w:val="22"/>
          <w:szCs w:val="22"/>
        </w:rPr>
        <w:t>nce there was a lack of an</w:t>
      </w:r>
      <w:r w:rsidR="008927D0">
        <w:rPr>
          <w:rFonts w:ascii="Times New Roman" w:eastAsiaTheme="minorHAnsi" w:hAnsi="Times New Roman"/>
          <w:color w:val="212121"/>
          <w:sz w:val="22"/>
          <w:szCs w:val="22"/>
        </w:rPr>
        <w:t xml:space="preserve"> affirmative action by the easement holder demonstrating his intent to abandon</w:t>
      </w:r>
      <w:r w:rsidR="00BD42F6" w:rsidRPr="008927D0">
        <w:rPr>
          <w:rFonts w:ascii="Times New Roman" w:eastAsiaTheme="minorHAnsi" w:hAnsi="Times New Roman"/>
          <w:color w:val="212121"/>
          <w:sz w:val="22"/>
          <w:szCs w:val="22"/>
        </w:rPr>
        <w:t xml:space="preserve">. </w:t>
      </w:r>
      <w:r w:rsidR="00BD42F6" w:rsidRPr="008927D0">
        <w:rPr>
          <w:rFonts w:ascii="Times New Roman" w:eastAsiaTheme="minorHAnsi" w:hAnsi="Times New Roman"/>
          <w:color w:val="212121"/>
          <w:sz w:val="22"/>
          <w:szCs w:val="22"/>
          <w:u w:val="single"/>
        </w:rPr>
        <w:t>Id</w:t>
      </w:r>
      <w:r w:rsidR="00BD42F6" w:rsidRPr="008927D0">
        <w:rPr>
          <w:rFonts w:ascii="Times New Roman" w:eastAsiaTheme="minorHAnsi" w:hAnsi="Times New Roman"/>
          <w:color w:val="212121"/>
          <w:sz w:val="22"/>
          <w:szCs w:val="22"/>
        </w:rPr>
        <w:t xml:space="preserve">. at </w:t>
      </w:r>
      <w:r w:rsidR="0042293E">
        <w:rPr>
          <w:rFonts w:ascii="Times New Roman" w:eastAsiaTheme="minorHAnsi" w:hAnsi="Times New Roman"/>
          <w:color w:val="212121"/>
          <w:sz w:val="22"/>
          <w:szCs w:val="22"/>
        </w:rPr>
        <w:t>¶¶9-10.</w:t>
      </w:r>
    </w:p>
    <w:p w:rsidR="00E15A33" w:rsidRDefault="00E15A33" w:rsidP="00F26DAA">
      <w:pPr>
        <w:widowControl/>
        <w:ind w:firstLine="720"/>
        <w:jc w:val="both"/>
        <w:rPr>
          <w:rFonts w:ascii="Times New Roman" w:hAnsi="Times New Roman"/>
          <w:sz w:val="22"/>
          <w:szCs w:val="22"/>
        </w:rPr>
      </w:pPr>
    </w:p>
    <w:p w:rsidR="00D232ED" w:rsidRPr="00412839" w:rsidRDefault="0035007C" w:rsidP="00905078">
      <w:pPr>
        <w:widowControl/>
        <w:ind w:firstLine="450"/>
        <w:jc w:val="both"/>
        <w:rPr>
          <w:rFonts w:ascii="TimesNewRomanPSMT" w:eastAsiaTheme="minorHAnsi" w:hAnsi="TimesNewRomanPSMT" w:cs="TimesNewRomanPSMT"/>
          <w:color w:val="212121"/>
          <w:sz w:val="20"/>
          <w:szCs w:val="20"/>
        </w:rPr>
      </w:pPr>
      <w:bookmarkStart w:id="0" w:name="_GoBack"/>
      <w:bookmarkEnd w:id="0"/>
      <w:r w:rsidRPr="0035007C">
        <w:rPr>
          <w:rFonts w:ascii="Times New Roman" w:eastAsiaTheme="minorHAnsi" w:hAnsi="Times New Roman"/>
          <w:color w:val="212121"/>
          <w:sz w:val="22"/>
          <w:szCs w:val="22"/>
        </w:rPr>
        <w:t xml:space="preserve">In regard to the affirmative action requirement, </w:t>
      </w:r>
      <w:r w:rsidR="00CA1C4A" w:rsidRPr="00F26DAA">
        <w:rPr>
          <w:rFonts w:ascii="Times New Roman" w:eastAsiaTheme="minorHAnsi" w:hAnsi="Times New Roman"/>
          <w:color w:val="212121"/>
          <w:sz w:val="22"/>
          <w:szCs w:val="22"/>
          <w:u w:val="single"/>
        </w:rPr>
        <w:t xml:space="preserve">Bohn v. </w:t>
      </w:r>
      <w:proofErr w:type="spellStart"/>
      <w:r w:rsidR="00CA1C4A" w:rsidRPr="00F26DAA">
        <w:rPr>
          <w:rFonts w:ascii="Times New Roman" w:eastAsiaTheme="minorHAnsi" w:hAnsi="Times New Roman"/>
          <w:color w:val="212121"/>
          <w:sz w:val="22"/>
          <w:szCs w:val="22"/>
          <w:u w:val="single"/>
        </w:rPr>
        <w:t>Leiber</w:t>
      </w:r>
      <w:proofErr w:type="spellEnd"/>
      <w:r w:rsidR="00CA1C4A" w:rsidRPr="00F26DAA">
        <w:rPr>
          <w:rFonts w:ascii="Times New Roman" w:eastAsiaTheme="minorHAnsi" w:hAnsi="Times New Roman"/>
          <w:color w:val="212121"/>
          <w:sz w:val="22"/>
          <w:szCs w:val="22"/>
        </w:rPr>
        <w:t xml:space="preserve">, 2020 WI App 52, 393 Wis.2d 757, 766, 948 N.W.2d 370, </w:t>
      </w:r>
      <w:r>
        <w:rPr>
          <w:rFonts w:ascii="Times New Roman" w:eastAsiaTheme="minorHAnsi" w:hAnsi="Times New Roman"/>
          <w:color w:val="212121"/>
          <w:sz w:val="22"/>
          <w:szCs w:val="22"/>
        </w:rPr>
        <w:t xml:space="preserve">is distinguishable from </w:t>
      </w:r>
      <w:r w:rsidRPr="0035007C">
        <w:rPr>
          <w:rFonts w:ascii="Times New Roman" w:eastAsiaTheme="minorHAnsi" w:hAnsi="Times New Roman"/>
          <w:color w:val="212121"/>
          <w:sz w:val="22"/>
          <w:szCs w:val="22"/>
          <w:u w:val="single"/>
        </w:rPr>
        <w:t>Spencer</w:t>
      </w:r>
      <w:r>
        <w:rPr>
          <w:rFonts w:ascii="Times New Roman" w:eastAsiaTheme="minorHAnsi" w:hAnsi="Times New Roman"/>
          <w:color w:val="212121"/>
          <w:sz w:val="22"/>
          <w:szCs w:val="22"/>
        </w:rPr>
        <w:t xml:space="preserve">, </w:t>
      </w:r>
      <w:r w:rsidRPr="003B16A7">
        <w:rPr>
          <w:rFonts w:ascii="Times New Roman" w:eastAsiaTheme="minorHAnsi" w:hAnsi="Times New Roman"/>
          <w:color w:val="212121"/>
          <w:sz w:val="22"/>
          <w:szCs w:val="22"/>
          <w:u w:val="single"/>
        </w:rPr>
        <w:t>supra</w:t>
      </w:r>
      <w:r>
        <w:rPr>
          <w:rFonts w:ascii="Times New Roman" w:eastAsiaTheme="minorHAnsi" w:hAnsi="Times New Roman"/>
          <w:color w:val="212121"/>
          <w:sz w:val="22"/>
          <w:szCs w:val="22"/>
        </w:rPr>
        <w:t xml:space="preserve">. In </w:t>
      </w:r>
      <w:r w:rsidRPr="0035007C">
        <w:rPr>
          <w:rFonts w:ascii="Times New Roman" w:eastAsiaTheme="minorHAnsi" w:hAnsi="Times New Roman"/>
          <w:color w:val="212121"/>
          <w:sz w:val="22"/>
          <w:szCs w:val="22"/>
          <w:u w:val="single"/>
        </w:rPr>
        <w:t>Bohn</w:t>
      </w:r>
      <w:r>
        <w:rPr>
          <w:rFonts w:ascii="Times New Roman" w:eastAsiaTheme="minorHAnsi" w:hAnsi="Times New Roman"/>
          <w:color w:val="212121"/>
          <w:sz w:val="22"/>
          <w:szCs w:val="22"/>
        </w:rPr>
        <w:t xml:space="preserve">, </w:t>
      </w:r>
      <w:r w:rsidR="000575FC" w:rsidRPr="00F26DAA">
        <w:rPr>
          <w:rFonts w:ascii="Times New Roman" w:hAnsi="Times New Roman"/>
          <w:sz w:val="22"/>
          <w:szCs w:val="22"/>
        </w:rPr>
        <w:t xml:space="preserve">the Wisconsin Court of Appeals </w:t>
      </w:r>
      <w:r w:rsidR="000575FC" w:rsidRPr="00F26DAA">
        <w:rPr>
          <w:rFonts w:ascii="Times New Roman" w:hAnsi="Times New Roman"/>
          <w:sz w:val="22"/>
          <w:szCs w:val="22"/>
        </w:rPr>
        <w:lastRenderedPageBreak/>
        <w:t xml:space="preserve">determined that the easement holder’s </w:t>
      </w:r>
      <w:r w:rsidR="00CA1C4A" w:rsidRPr="00F26DAA">
        <w:rPr>
          <w:rFonts w:ascii="Times New Roman" w:eastAsiaTheme="minorHAnsi" w:hAnsi="Times New Roman"/>
          <w:color w:val="212121"/>
          <w:sz w:val="22"/>
          <w:szCs w:val="22"/>
        </w:rPr>
        <w:t>comment that</w:t>
      </w:r>
      <w:r w:rsidR="00CA1C4A" w:rsidRPr="00F26DAA">
        <w:rPr>
          <w:rFonts w:ascii="Times New Roman" w:hAnsi="Times New Roman"/>
          <w:sz w:val="22"/>
          <w:szCs w:val="22"/>
        </w:rPr>
        <w:t xml:space="preserve"> “</w:t>
      </w:r>
      <w:r w:rsidR="00CA1C4A" w:rsidRPr="00F26DAA">
        <w:rPr>
          <w:rFonts w:ascii="Times New Roman" w:eastAsiaTheme="minorHAnsi" w:hAnsi="Times New Roman"/>
          <w:color w:val="212121"/>
          <w:sz w:val="22"/>
          <w:szCs w:val="22"/>
        </w:rPr>
        <w:t>he had ‘no intention of ever building a roadway on the</w:t>
      </w:r>
      <w:r w:rsidR="00CA1C4A" w:rsidRPr="00F26DAA">
        <w:rPr>
          <w:rFonts w:ascii="Times New Roman" w:hAnsi="Times New Roman"/>
          <w:sz w:val="22"/>
          <w:szCs w:val="22"/>
        </w:rPr>
        <w:t xml:space="preserve"> </w:t>
      </w:r>
      <w:r w:rsidR="00CA1C4A" w:rsidRPr="00F26DAA">
        <w:rPr>
          <w:rFonts w:ascii="Times New Roman" w:eastAsiaTheme="minorHAnsi" w:hAnsi="Times New Roman"/>
          <w:color w:val="212121"/>
          <w:sz w:val="22"/>
          <w:szCs w:val="22"/>
        </w:rPr>
        <w:t>easement,’ by itself, would be insufficient to constitute</w:t>
      </w:r>
      <w:r w:rsidR="00CA1C4A" w:rsidRPr="00F26DAA">
        <w:rPr>
          <w:rFonts w:ascii="Times New Roman" w:hAnsi="Times New Roman"/>
          <w:sz w:val="22"/>
          <w:szCs w:val="22"/>
        </w:rPr>
        <w:t xml:space="preserve"> </w:t>
      </w:r>
      <w:r w:rsidR="00CA1C4A" w:rsidRPr="00F26DAA">
        <w:rPr>
          <w:rFonts w:ascii="Times New Roman" w:eastAsiaTheme="minorHAnsi" w:hAnsi="Times New Roman"/>
          <w:color w:val="212121"/>
          <w:sz w:val="22"/>
          <w:szCs w:val="22"/>
        </w:rPr>
        <w:t>abandonment.”</w:t>
      </w:r>
      <w:r w:rsidR="00F26DAA" w:rsidRPr="00F26DAA">
        <w:rPr>
          <w:rFonts w:ascii="Times New Roman" w:eastAsiaTheme="minorHAnsi" w:hAnsi="Times New Roman"/>
          <w:color w:val="212121"/>
          <w:sz w:val="22"/>
          <w:szCs w:val="22"/>
        </w:rPr>
        <w:t xml:space="preserve"> Additionally, t</w:t>
      </w:r>
      <w:r w:rsidR="00CA1C4A" w:rsidRPr="00F26DAA">
        <w:rPr>
          <w:rFonts w:ascii="Times New Roman" w:eastAsiaTheme="minorHAnsi" w:hAnsi="Times New Roman"/>
          <w:color w:val="212121"/>
          <w:sz w:val="22"/>
          <w:szCs w:val="22"/>
        </w:rPr>
        <w:t>he fact that the easement area</w:t>
      </w:r>
      <w:r w:rsidR="00F26DAA" w:rsidRPr="00F26DAA">
        <w:rPr>
          <w:rFonts w:ascii="Times New Roman" w:hAnsi="Times New Roman"/>
          <w:sz w:val="22"/>
          <w:szCs w:val="22"/>
        </w:rPr>
        <w:t xml:space="preserve"> was </w:t>
      </w:r>
      <w:r w:rsidR="00F26DAA" w:rsidRPr="00F26DAA">
        <w:rPr>
          <w:rFonts w:ascii="Times New Roman" w:eastAsiaTheme="minorHAnsi" w:hAnsi="Times New Roman"/>
          <w:color w:val="212121"/>
          <w:sz w:val="22"/>
          <w:szCs w:val="22"/>
        </w:rPr>
        <w:t>never</w:t>
      </w:r>
      <w:r w:rsidR="00CA1C4A" w:rsidRPr="00F26DAA">
        <w:rPr>
          <w:rFonts w:ascii="Times New Roman" w:eastAsiaTheme="minorHAnsi" w:hAnsi="Times New Roman"/>
          <w:color w:val="212121"/>
          <w:sz w:val="22"/>
          <w:szCs w:val="22"/>
        </w:rPr>
        <w:t xml:space="preserve"> </w:t>
      </w:r>
      <w:proofErr w:type="gramStart"/>
      <w:r w:rsidR="00CA1C4A" w:rsidRPr="00F26DAA">
        <w:rPr>
          <w:rFonts w:ascii="Times New Roman" w:eastAsiaTheme="minorHAnsi" w:hAnsi="Times New Roman"/>
          <w:color w:val="212121"/>
          <w:sz w:val="22"/>
          <w:szCs w:val="22"/>
        </w:rPr>
        <w:t>utilized</w:t>
      </w:r>
      <w:proofErr w:type="gramEnd"/>
      <w:r w:rsidR="00CA1C4A" w:rsidRPr="00F26DAA">
        <w:rPr>
          <w:rFonts w:ascii="Times New Roman" w:eastAsiaTheme="minorHAnsi" w:hAnsi="Times New Roman"/>
          <w:color w:val="212121"/>
          <w:sz w:val="22"/>
          <w:szCs w:val="22"/>
        </w:rPr>
        <w:t xml:space="preserve"> as a </w:t>
      </w:r>
      <w:r w:rsidR="00F26DAA" w:rsidRPr="00F26DAA">
        <w:rPr>
          <w:rFonts w:ascii="Times New Roman" w:eastAsiaTheme="minorHAnsi" w:hAnsi="Times New Roman"/>
          <w:color w:val="212121"/>
          <w:sz w:val="22"/>
          <w:szCs w:val="22"/>
        </w:rPr>
        <w:t xml:space="preserve">roadway, by itself, would also be insufficient to </w:t>
      </w:r>
      <w:r w:rsidR="00CA1C4A" w:rsidRPr="00F26DAA">
        <w:rPr>
          <w:rFonts w:ascii="Times New Roman" w:eastAsiaTheme="minorHAnsi" w:hAnsi="Times New Roman"/>
          <w:color w:val="212121"/>
          <w:sz w:val="22"/>
          <w:szCs w:val="22"/>
        </w:rPr>
        <w:t>show abandonment</w:t>
      </w:r>
      <w:r w:rsidR="00CA1C4A" w:rsidRPr="00F26DAA">
        <w:rPr>
          <w:rFonts w:ascii="Times New Roman" w:eastAsiaTheme="minorHAnsi" w:hAnsi="Times New Roman"/>
          <w:color w:val="000000"/>
          <w:sz w:val="22"/>
          <w:szCs w:val="22"/>
        </w:rPr>
        <w:t>.</w:t>
      </w:r>
      <w:r w:rsidR="00F26DAA" w:rsidRPr="00F26DAA">
        <w:rPr>
          <w:rFonts w:ascii="Times New Roman" w:eastAsiaTheme="minorHAnsi" w:hAnsi="Times New Roman"/>
          <w:color w:val="000000"/>
          <w:sz w:val="22"/>
          <w:szCs w:val="22"/>
        </w:rPr>
        <w:t xml:space="preserve"> </w:t>
      </w:r>
      <w:r w:rsidR="00F26DAA" w:rsidRPr="00F26DAA">
        <w:rPr>
          <w:rFonts w:ascii="Times New Roman" w:eastAsiaTheme="minorHAnsi" w:hAnsi="Times New Roman"/>
          <w:color w:val="000000"/>
          <w:sz w:val="22"/>
          <w:szCs w:val="22"/>
          <w:u w:val="single"/>
        </w:rPr>
        <w:t>Id</w:t>
      </w:r>
      <w:r w:rsidR="00F26DAA" w:rsidRPr="00F26DAA">
        <w:rPr>
          <w:rFonts w:ascii="Times New Roman" w:eastAsiaTheme="minorHAnsi" w:hAnsi="Times New Roman"/>
          <w:color w:val="000000"/>
          <w:sz w:val="22"/>
          <w:szCs w:val="22"/>
        </w:rPr>
        <w:t xml:space="preserve">. at 766. However, when these examples </w:t>
      </w:r>
      <w:proofErr w:type="gramStart"/>
      <w:r>
        <w:rPr>
          <w:rFonts w:ascii="Times New Roman" w:eastAsiaTheme="minorHAnsi" w:hAnsi="Times New Roman"/>
          <w:color w:val="000000"/>
          <w:sz w:val="22"/>
          <w:szCs w:val="22"/>
        </w:rPr>
        <w:t>were coupled</w:t>
      </w:r>
      <w:proofErr w:type="gramEnd"/>
      <w:r>
        <w:rPr>
          <w:rFonts w:ascii="Times New Roman" w:eastAsiaTheme="minorHAnsi" w:hAnsi="Times New Roman"/>
          <w:color w:val="000000"/>
          <w:sz w:val="22"/>
          <w:szCs w:val="22"/>
        </w:rPr>
        <w:t xml:space="preserve"> with </w:t>
      </w:r>
      <w:r w:rsidR="00F26DAA" w:rsidRPr="00F26DAA">
        <w:rPr>
          <w:rFonts w:ascii="Times New Roman" w:eastAsiaTheme="minorHAnsi" w:hAnsi="Times New Roman"/>
          <w:color w:val="000000"/>
          <w:sz w:val="22"/>
          <w:szCs w:val="22"/>
        </w:rPr>
        <w:t>the easement holder</w:t>
      </w:r>
      <w:r>
        <w:rPr>
          <w:rFonts w:ascii="Times New Roman" w:eastAsiaTheme="minorHAnsi" w:hAnsi="Times New Roman"/>
          <w:color w:val="000000"/>
          <w:sz w:val="22"/>
          <w:szCs w:val="22"/>
        </w:rPr>
        <w:t>’s affirmative act of</w:t>
      </w:r>
      <w:r w:rsidR="00F26DAA" w:rsidRPr="00F26DAA">
        <w:rPr>
          <w:rFonts w:ascii="Times New Roman" w:eastAsiaTheme="minorHAnsi" w:hAnsi="Times New Roman"/>
          <w:color w:val="000000"/>
          <w:sz w:val="22"/>
          <w:szCs w:val="22"/>
        </w:rPr>
        <w:t xml:space="preserve"> </w:t>
      </w:r>
      <w:r>
        <w:rPr>
          <w:rFonts w:ascii="Times New Roman" w:eastAsiaTheme="minorHAnsi" w:hAnsi="Times New Roman"/>
          <w:color w:val="000000"/>
          <w:sz w:val="22"/>
          <w:szCs w:val="22"/>
        </w:rPr>
        <w:t>planting</w:t>
      </w:r>
      <w:r w:rsidR="00F26DAA" w:rsidRPr="00F26DAA">
        <w:rPr>
          <w:rFonts w:ascii="Times New Roman" w:eastAsiaTheme="minorHAnsi" w:hAnsi="Times New Roman"/>
          <w:color w:val="000000"/>
          <w:sz w:val="22"/>
          <w:szCs w:val="22"/>
        </w:rPr>
        <w:t xml:space="preserve"> numerous trees within the easement area, the court concluded that there was </w:t>
      </w:r>
      <w:r w:rsidR="00F26DAA" w:rsidRPr="00F26DAA">
        <w:rPr>
          <w:rFonts w:ascii="Times New Roman" w:eastAsiaTheme="minorHAnsi" w:hAnsi="Times New Roman"/>
          <w:color w:val="212121"/>
          <w:sz w:val="22"/>
          <w:szCs w:val="22"/>
        </w:rPr>
        <w:t>a question of fact as to whether the easement was abandoned</w:t>
      </w:r>
      <w:r w:rsidR="00F26DAA" w:rsidRPr="00F26DAA">
        <w:rPr>
          <w:rFonts w:ascii="Times New Roman" w:eastAsiaTheme="minorHAnsi" w:hAnsi="Times New Roman"/>
          <w:color w:val="000000"/>
          <w:sz w:val="22"/>
          <w:szCs w:val="22"/>
        </w:rPr>
        <w:t>.</w:t>
      </w:r>
      <w:r w:rsidR="00F26DAA">
        <w:rPr>
          <w:rFonts w:ascii="TimesNewRomanPSMT" w:eastAsiaTheme="minorHAnsi" w:hAnsi="TimesNewRomanPSMT" w:cs="TimesNewRomanPSMT"/>
          <w:color w:val="000000"/>
          <w:sz w:val="20"/>
          <w:szCs w:val="20"/>
        </w:rPr>
        <w:t xml:space="preserve"> </w:t>
      </w:r>
    </w:p>
    <w:sectPr w:rsidR="00D232ED" w:rsidRPr="00412839" w:rsidSect="00C90A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ED" w:rsidRDefault="00D232ED" w:rsidP="00D232ED">
      <w:r>
        <w:separator/>
      </w:r>
    </w:p>
  </w:endnote>
  <w:endnote w:type="continuationSeparator" w:id="0">
    <w:p w:rsidR="00D232ED" w:rsidRDefault="00D232ED" w:rsidP="00D2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56" w:rsidRDefault="00C90A56" w:rsidP="002028AF">
    <w:pPr>
      <w:pStyle w:val="Footer"/>
      <w:jc w:val="both"/>
      <w:rPr>
        <w:rFonts w:ascii="Arial" w:hAnsi="Arial" w:cs="Arial"/>
        <w:sz w:val="20"/>
        <w:szCs w:val="20"/>
      </w:rPr>
    </w:pPr>
  </w:p>
  <w:p w:rsidR="002028AF" w:rsidRPr="002028AF" w:rsidRDefault="002028AF" w:rsidP="002028AF">
    <w:pPr>
      <w:pStyle w:val="Footer"/>
      <w:jc w:val="both"/>
      <w:rPr>
        <w:rFonts w:ascii="Arial" w:hAnsi="Arial" w:cs="Arial"/>
        <w:sz w:val="20"/>
        <w:szCs w:val="20"/>
      </w:rPr>
    </w:pPr>
    <w:r w:rsidRPr="002028AF">
      <w:rPr>
        <w:rFonts w:ascii="Arial" w:hAnsi="Arial" w:cs="Arial"/>
        <w:sz w:val="20"/>
        <w:szCs w:val="20"/>
      </w:rPr>
      <w:t>Wiscons</w:t>
    </w:r>
    <w:r w:rsidR="00CE36D2">
      <w:rPr>
        <w:rFonts w:ascii="Arial" w:hAnsi="Arial" w:cs="Arial"/>
        <w:sz w:val="20"/>
        <w:szCs w:val="20"/>
      </w:rPr>
      <w:t>in Court</w:t>
    </w:r>
    <w:r w:rsidR="00C90A56">
      <w:rPr>
        <w:rFonts w:ascii="Arial" w:hAnsi="Arial" w:cs="Arial"/>
        <w:sz w:val="20"/>
        <w:szCs w:val="20"/>
      </w:rPr>
      <w:t xml:space="preserve"> System, 2022</w:t>
    </w:r>
    <w:r w:rsidR="00C90A56">
      <w:rPr>
        <w:rFonts w:ascii="Arial" w:hAnsi="Arial" w:cs="Arial"/>
        <w:sz w:val="20"/>
        <w:szCs w:val="20"/>
      </w:rPr>
      <w:tab/>
    </w:r>
    <w:r w:rsidR="00C90A56">
      <w:rPr>
        <w:rFonts w:ascii="Arial" w:hAnsi="Arial" w:cs="Arial"/>
        <w:sz w:val="20"/>
        <w:szCs w:val="20"/>
      </w:rPr>
      <w:tab/>
      <w:t>(Release No. 53</w:t>
    </w:r>
    <w:r w:rsidRPr="002028AF">
      <w:rPr>
        <w:rFonts w:ascii="Arial" w:hAnsi="Arial" w:cs="Arial"/>
        <w:sz w:val="20"/>
        <w:szCs w:val="20"/>
      </w:rPr>
      <w:t>)</w:t>
    </w:r>
  </w:p>
  <w:p w:rsidR="002028AF" w:rsidRPr="002028AF" w:rsidRDefault="00905078">
    <w:pPr>
      <w:pStyle w:val="Footer"/>
      <w:jc w:val="center"/>
      <w:rPr>
        <w:rFonts w:ascii="Arial" w:hAnsi="Arial" w:cs="Arial"/>
        <w:sz w:val="20"/>
        <w:szCs w:val="20"/>
      </w:rPr>
    </w:pPr>
    <w:sdt>
      <w:sdtPr>
        <w:rPr>
          <w:rFonts w:ascii="Arial" w:hAnsi="Arial" w:cs="Arial"/>
          <w:sz w:val="20"/>
          <w:szCs w:val="20"/>
        </w:rPr>
        <w:id w:val="1495917108"/>
        <w:docPartObj>
          <w:docPartGallery w:val="Page Numbers (Bottom of Page)"/>
          <w:docPartUnique/>
        </w:docPartObj>
      </w:sdtPr>
      <w:sdtEndPr>
        <w:rPr>
          <w:noProof/>
        </w:rPr>
      </w:sdtEndPr>
      <w:sdtContent>
        <w:r w:rsidR="002028AF" w:rsidRPr="002028AF">
          <w:rPr>
            <w:rFonts w:ascii="Arial" w:hAnsi="Arial" w:cs="Arial"/>
            <w:sz w:val="20"/>
            <w:szCs w:val="20"/>
          </w:rPr>
          <w:fldChar w:fldCharType="begin"/>
        </w:r>
        <w:r w:rsidR="002028AF" w:rsidRPr="002028AF">
          <w:rPr>
            <w:rFonts w:ascii="Arial" w:hAnsi="Arial" w:cs="Arial"/>
            <w:sz w:val="20"/>
            <w:szCs w:val="20"/>
          </w:rPr>
          <w:instrText xml:space="preserve"> PAGE   \* MERGEFORMAT </w:instrText>
        </w:r>
        <w:r w:rsidR="002028AF" w:rsidRPr="002028AF">
          <w:rPr>
            <w:rFonts w:ascii="Arial" w:hAnsi="Arial" w:cs="Arial"/>
            <w:sz w:val="20"/>
            <w:szCs w:val="20"/>
          </w:rPr>
          <w:fldChar w:fldCharType="separate"/>
        </w:r>
        <w:r>
          <w:rPr>
            <w:rFonts w:ascii="Arial" w:hAnsi="Arial" w:cs="Arial"/>
            <w:noProof/>
            <w:sz w:val="20"/>
            <w:szCs w:val="20"/>
          </w:rPr>
          <w:t>3</w:t>
        </w:r>
        <w:r w:rsidR="002028AF" w:rsidRPr="002028AF">
          <w:rPr>
            <w:rFonts w:ascii="Arial" w:hAnsi="Arial" w:cs="Arial"/>
            <w:noProof/>
            <w:sz w:val="20"/>
            <w:szCs w:val="20"/>
          </w:rPr>
          <w:fldChar w:fldCharType="end"/>
        </w:r>
      </w:sdtContent>
    </w:sdt>
  </w:p>
  <w:p w:rsidR="002028AF" w:rsidRDefault="0020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ED" w:rsidRDefault="00D232ED" w:rsidP="00D232ED">
      <w:r>
        <w:separator/>
      </w:r>
    </w:p>
  </w:footnote>
  <w:footnote w:type="continuationSeparator" w:id="0">
    <w:p w:rsidR="00D232ED" w:rsidRDefault="00D232ED" w:rsidP="00D2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ED" w:rsidRDefault="00D232ED" w:rsidP="00D232ED">
    <w:pPr>
      <w:tabs>
        <w:tab w:val="center" w:pos="4680"/>
        <w:tab w:val="right" w:pos="9360"/>
      </w:tabs>
      <w:jc w:val="both"/>
      <w:rPr>
        <w:rFonts w:ascii="Arial" w:hAnsi="Arial" w:cs="Arial"/>
        <w:b/>
        <w:bCs/>
        <w:sz w:val="28"/>
        <w:szCs w:val="28"/>
      </w:rPr>
    </w:pPr>
  </w:p>
  <w:p w:rsidR="00D232ED" w:rsidRPr="00D232ED" w:rsidRDefault="00CE36D2" w:rsidP="00D232ED">
    <w:pPr>
      <w:tabs>
        <w:tab w:val="center" w:pos="4680"/>
        <w:tab w:val="right" w:pos="9360"/>
      </w:tabs>
      <w:jc w:val="both"/>
      <w:rPr>
        <w:rFonts w:ascii="Arial" w:hAnsi="Arial" w:cs="Arial"/>
        <w:b/>
        <w:bCs/>
        <w:sz w:val="28"/>
        <w:szCs w:val="28"/>
      </w:rPr>
    </w:pPr>
    <w:r>
      <w:rPr>
        <w:rFonts w:ascii="Arial" w:hAnsi="Arial" w:cs="Arial"/>
        <w:b/>
        <w:bCs/>
        <w:sz w:val="28"/>
        <w:szCs w:val="28"/>
      </w:rPr>
      <w:t>3079</w:t>
    </w:r>
    <w:r w:rsidR="00D232ED" w:rsidRPr="00D232ED">
      <w:rPr>
        <w:rFonts w:ascii="Arial" w:hAnsi="Arial" w:cs="Arial"/>
        <w:b/>
        <w:bCs/>
        <w:sz w:val="28"/>
        <w:szCs w:val="28"/>
      </w:rPr>
      <w:tab/>
    </w:r>
    <w:r>
      <w:rPr>
        <w:rFonts w:ascii="Arial" w:hAnsi="Arial" w:cs="Arial"/>
        <w:b/>
        <w:bCs/>
        <w:sz w:val="28"/>
        <w:szCs w:val="28"/>
      </w:rPr>
      <w:t>WIS JI-CIVIL</w:t>
    </w:r>
    <w:r>
      <w:rPr>
        <w:rFonts w:ascii="Arial" w:hAnsi="Arial" w:cs="Arial"/>
        <w:b/>
        <w:bCs/>
        <w:sz w:val="28"/>
        <w:szCs w:val="28"/>
      </w:rPr>
      <w:tab/>
      <w:t>3079</w:t>
    </w:r>
  </w:p>
  <w:p w:rsidR="00D232ED" w:rsidRDefault="00D232ED">
    <w:pPr>
      <w:pStyle w:val="Header"/>
      <w:rPr>
        <w:rFonts w:ascii="Arial" w:hAnsi="Arial" w:cs="Arial"/>
        <w:sz w:val="28"/>
        <w:szCs w:val="28"/>
      </w:rPr>
    </w:pPr>
  </w:p>
  <w:p w:rsidR="00905078" w:rsidRDefault="00905078">
    <w:pPr>
      <w:pStyle w:val="Header"/>
      <w:rPr>
        <w:rFonts w:ascii="Arial" w:hAnsi="Arial" w:cs="Arial"/>
        <w:sz w:val="28"/>
        <w:szCs w:val="28"/>
      </w:rPr>
    </w:pPr>
  </w:p>
  <w:p w:rsidR="00905078" w:rsidRDefault="00905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ED"/>
    <w:rsid w:val="00020C44"/>
    <w:rsid w:val="000575FC"/>
    <w:rsid w:val="000D31D1"/>
    <w:rsid w:val="001640D0"/>
    <w:rsid w:val="002028AF"/>
    <w:rsid w:val="002815DF"/>
    <w:rsid w:val="0035007C"/>
    <w:rsid w:val="003A6538"/>
    <w:rsid w:val="003B16A7"/>
    <w:rsid w:val="00412839"/>
    <w:rsid w:val="0042293E"/>
    <w:rsid w:val="00433EC1"/>
    <w:rsid w:val="00663C16"/>
    <w:rsid w:val="0070763B"/>
    <w:rsid w:val="00736333"/>
    <w:rsid w:val="007527D1"/>
    <w:rsid w:val="0076047F"/>
    <w:rsid w:val="007D1AE6"/>
    <w:rsid w:val="008927D0"/>
    <w:rsid w:val="00905078"/>
    <w:rsid w:val="009B0CF0"/>
    <w:rsid w:val="00A92238"/>
    <w:rsid w:val="00AA21ED"/>
    <w:rsid w:val="00BA07F0"/>
    <w:rsid w:val="00BD03D1"/>
    <w:rsid w:val="00BD42F6"/>
    <w:rsid w:val="00C90A56"/>
    <w:rsid w:val="00CA1C4A"/>
    <w:rsid w:val="00CA40D3"/>
    <w:rsid w:val="00CC6594"/>
    <w:rsid w:val="00CE36D2"/>
    <w:rsid w:val="00D232ED"/>
    <w:rsid w:val="00DA64E6"/>
    <w:rsid w:val="00E15A33"/>
    <w:rsid w:val="00E9471F"/>
    <w:rsid w:val="00F065E9"/>
    <w:rsid w:val="00F26DAA"/>
    <w:rsid w:val="00F5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9CE97"/>
  <w15:chartTrackingRefBased/>
  <w15:docId w15:val="{46370146-B802-42AB-BBEB-1657DB68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ED"/>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ED"/>
    <w:pPr>
      <w:tabs>
        <w:tab w:val="center" w:pos="4680"/>
        <w:tab w:val="right" w:pos="9360"/>
      </w:tabs>
    </w:pPr>
  </w:style>
  <w:style w:type="character" w:customStyle="1" w:styleId="HeaderChar">
    <w:name w:val="Header Char"/>
    <w:basedOn w:val="DefaultParagraphFont"/>
    <w:link w:val="Header"/>
    <w:uiPriority w:val="99"/>
    <w:rsid w:val="00D232ED"/>
  </w:style>
  <w:style w:type="paragraph" w:styleId="Footer">
    <w:name w:val="footer"/>
    <w:basedOn w:val="Normal"/>
    <w:link w:val="FooterChar"/>
    <w:uiPriority w:val="99"/>
    <w:unhideWhenUsed/>
    <w:rsid w:val="00D232ED"/>
    <w:pPr>
      <w:tabs>
        <w:tab w:val="center" w:pos="4680"/>
        <w:tab w:val="right" w:pos="9360"/>
      </w:tabs>
    </w:pPr>
  </w:style>
  <w:style w:type="character" w:customStyle="1" w:styleId="FooterChar">
    <w:name w:val="Footer Char"/>
    <w:basedOn w:val="DefaultParagraphFont"/>
    <w:link w:val="Footer"/>
    <w:uiPriority w:val="99"/>
    <w:rsid w:val="00D232ED"/>
  </w:style>
  <w:style w:type="paragraph" w:styleId="NoSpacing">
    <w:name w:val="No Spacing"/>
    <w:uiPriority w:val="1"/>
    <w:qFormat/>
    <w:rsid w:val="00D232ED"/>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customStyle="1" w:styleId="cohl">
    <w:name w:val="co_hl"/>
    <w:basedOn w:val="DefaultParagraphFont"/>
    <w:rsid w:val="0070763B"/>
  </w:style>
  <w:style w:type="character" w:styleId="Hyperlink">
    <w:name w:val="Hyperlink"/>
    <w:basedOn w:val="DefaultParagraphFont"/>
    <w:uiPriority w:val="99"/>
    <w:semiHidden/>
    <w:unhideWhenUsed/>
    <w:rsid w:val="0070763B"/>
    <w:rPr>
      <w:color w:val="0000FF"/>
      <w:u w:val="single"/>
    </w:rPr>
  </w:style>
  <w:style w:type="character" w:styleId="Emphasis">
    <w:name w:val="Emphasis"/>
    <w:basedOn w:val="DefaultParagraphFont"/>
    <w:uiPriority w:val="20"/>
    <w:qFormat/>
    <w:rsid w:val="0070763B"/>
    <w:rPr>
      <w:i/>
      <w:iCs/>
    </w:rPr>
  </w:style>
  <w:style w:type="character" w:customStyle="1" w:styleId="costarpage">
    <w:name w:val="co_starpage"/>
    <w:basedOn w:val="DefaultParagraphFont"/>
    <w:rsid w:val="0070763B"/>
  </w:style>
  <w:style w:type="character" w:styleId="Strong">
    <w:name w:val="Strong"/>
    <w:basedOn w:val="DefaultParagraphFont"/>
    <w:uiPriority w:val="22"/>
    <w:qFormat/>
    <w:rsid w:val="000575FC"/>
    <w:rPr>
      <w:b/>
      <w:bCs/>
    </w:rPr>
  </w:style>
  <w:style w:type="character" w:styleId="LineNumber">
    <w:name w:val="line number"/>
    <w:basedOn w:val="DefaultParagraphFont"/>
    <w:uiPriority w:val="99"/>
    <w:semiHidden/>
    <w:unhideWhenUsed/>
    <w:rsid w:val="003B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F6B1-CDA1-4C19-BD74-DD0107B2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3</cp:revision>
  <dcterms:created xsi:type="dcterms:W3CDTF">2022-03-01T18:33:00Z</dcterms:created>
  <dcterms:modified xsi:type="dcterms:W3CDTF">2022-03-07T20:53:00Z</dcterms:modified>
</cp:coreProperties>
</file>