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B169" w14:textId="77777777" w:rsidR="00C90430" w:rsidRDefault="00C90430" w:rsidP="00C9043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3110</w:t>
      </w:r>
      <w:r>
        <w:rPr>
          <w:rFonts w:ascii="Times New Roman" w:hAnsi="Times New Roman"/>
          <w:b/>
          <w:bCs/>
          <w:sz w:val="26"/>
          <w:szCs w:val="26"/>
        </w:rPr>
        <w:tab/>
        <w:t>INSURANCE CONTRACT: DEFINITION OF “RESIDENT” OR “MEMBER OF A HOUSEHOLD”</w:t>
      </w:r>
    </w:p>
    <w:p w14:paraId="73C1F2FE" w14:textId="77777777" w:rsidR="00A145C0" w:rsidRDefault="00A145C0" w:rsidP="00A145C0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14:paraId="65BB82D7" w14:textId="76B8E0FE" w:rsidR="00A145C0" w:rsidRDefault="00A145C0" w:rsidP="00A145C0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14:paraId="27EC7200" w14:textId="692721AE" w:rsidR="00C90430" w:rsidRPr="00C90430" w:rsidRDefault="00C90430" w:rsidP="00A145C0">
      <w:pPr>
        <w:pStyle w:val="NoSpacing"/>
        <w:spacing w:line="480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C90430">
        <w:rPr>
          <w:rFonts w:ascii="Times New Roman" w:hAnsi="Times New Roman"/>
          <w:sz w:val="26"/>
          <w:szCs w:val="26"/>
        </w:rPr>
        <w:t>Question No.</w:t>
      </w:r>
      <w:r w:rsidRPr="00C90430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      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90430">
        <w:rPr>
          <w:rFonts w:ascii="Times New Roman" w:hAnsi="Times New Roman"/>
          <w:sz w:val="26"/>
          <w:szCs w:val="26"/>
        </w:rPr>
        <w:t>asks</w:t>
      </w:r>
      <w:proofErr w:type="gramEnd"/>
      <w:r w:rsidRPr="00C90430">
        <w:rPr>
          <w:rFonts w:ascii="Times New Roman" w:hAnsi="Times New Roman"/>
          <w:sz w:val="26"/>
          <w:szCs w:val="26"/>
        </w:rPr>
        <w:t xml:space="preserve"> was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            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0430">
        <w:rPr>
          <w:rFonts w:ascii="Times New Roman" w:hAnsi="Times New Roman"/>
          <w:sz w:val="26"/>
          <w:szCs w:val="26"/>
        </w:rPr>
        <w:t xml:space="preserve">a resident of </w:t>
      </w:r>
      <w:r>
        <w:rPr>
          <w:rFonts w:ascii="Times New Roman" w:hAnsi="Times New Roman"/>
          <w:sz w:val="26"/>
          <w:szCs w:val="26"/>
          <w:u w:val="single"/>
        </w:rPr>
        <w:t>            </w:t>
      </w:r>
      <w:r w:rsidR="009B4FD3">
        <w:rPr>
          <w:rFonts w:ascii="Times New Roman" w:hAnsi="Times New Roman"/>
          <w:sz w:val="26"/>
          <w:szCs w:val="26"/>
        </w:rPr>
        <w:t>’</w:t>
      </w:r>
      <w:r w:rsidRPr="00C90430">
        <w:rPr>
          <w:rFonts w:ascii="Times New Roman" w:hAnsi="Times New Roman"/>
          <w:sz w:val="26"/>
          <w:szCs w:val="26"/>
        </w:rPr>
        <w:t>s household at the time of the (accident) (injury).</w:t>
      </w:r>
    </w:p>
    <w:p w14:paraId="34DE31B5" w14:textId="77777777" w:rsidR="00C90430" w:rsidRPr="00C90430" w:rsidRDefault="00C90430" w:rsidP="008D350B">
      <w:pPr>
        <w:pStyle w:val="NoSpacing"/>
        <w:spacing w:line="480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C90430">
        <w:rPr>
          <w:rFonts w:ascii="Times New Roman" w:hAnsi="Times New Roman"/>
          <w:sz w:val="26"/>
          <w:szCs w:val="26"/>
        </w:rPr>
        <w:t>A resident of a household is one, who, in a manner consistent with the closeness of a family or household, lives under the same roof.</w:t>
      </w:r>
    </w:p>
    <w:p w14:paraId="4B25C013" w14:textId="77777777" w:rsidR="00C90430" w:rsidRPr="00C90430" w:rsidRDefault="00C90430" w:rsidP="008D350B">
      <w:pPr>
        <w:pStyle w:val="NoSpacing"/>
        <w:spacing w:line="480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C90430">
        <w:rPr>
          <w:rFonts w:ascii="Times New Roman" w:hAnsi="Times New Roman"/>
          <w:sz w:val="26"/>
          <w:szCs w:val="26"/>
        </w:rPr>
        <w:t xml:space="preserve">However, a person may be a resident of more than one household for insurance </w:t>
      </w:r>
      <w:proofErr w:type="gramStart"/>
      <w:r w:rsidRPr="00C90430">
        <w:rPr>
          <w:rFonts w:ascii="Times New Roman" w:hAnsi="Times New Roman"/>
          <w:sz w:val="26"/>
          <w:szCs w:val="26"/>
        </w:rPr>
        <w:t>purposes</w:t>
      </w:r>
      <w:proofErr w:type="gramEnd"/>
      <w:r w:rsidRPr="00C90430">
        <w:rPr>
          <w:rFonts w:ascii="Times New Roman" w:hAnsi="Times New Roman"/>
          <w:sz w:val="26"/>
          <w:szCs w:val="26"/>
        </w:rPr>
        <w:t xml:space="preserve">. Residents of a household are not required to live under the same roof to </w:t>
      </w:r>
      <w:proofErr w:type="gramStart"/>
      <w:r w:rsidRPr="00C90430">
        <w:rPr>
          <w:rFonts w:ascii="Times New Roman" w:hAnsi="Times New Roman"/>
          <w:sz w:val="26"/>
          <w:szCs w:val="26"/>
        </w:rPr>
        <w:t>be considered</w:t>
      </w:r>
      <w:proofErr w:type="gramEnd"/>
      <w:r w:rsidRPr="00C90430">
        <w:rPr>
          <w:rFonts w:ascii="Times New Roman" w:hAnsi="Times New Roman"/>
          <w:sz w:val="26"/>
          <w:szCs w:val="26"/>
        </w:rPr>
        <w:t xml:space="preserve"> part of the same household for insurance purposes provided they have the intent to return to live under the same roof.</w:t>
      </w:r>
    </w:p>
    <w:p w14:paraId="02467225" w14:textId="77777777" w:rsidR="00C90430" w:rsidRPr="00C90430" w:rsidRDefault="00C90430" w:rsidP="008D350B">
      <w:pPr>
        <w:pStyle w:val="NoSpacing"/>
        <w:spacing w:line="480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C90430">
        <w:rPr>
          <w:rFonts w:ascii="Times New Roman" w:hAnsi="Times New Roman"/>
          <w:sz w:val="26"/>
          <w:szCs w:val="26"/>
        </w:rPr>
        <w:t>Factors you may consider in determining residency include:</w:t>
      </w:r>
    </w:p>
    <w:p w14:paraId="190FCC48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C90430">
        <w:rPr>
          <w:rFonts w:ascii="Times New Roman" w:hAnsi="Times New Roman"/>
          <w:sz w:val="26"/>
          <w:szCs w:val="26"/>
        </w:rPr>
        <w:t>The subjective or declared intent to return, if any, and actions evidencing this intent;</w:t>
      </w:r>
    </w:p>
    <w:p w14:paraId="1107544E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t>Whether the parties live in a close, intimate, and informal relationship;</w:t>
      </w:r>
    </w:p>
    <w:p w14:paraId="2213E358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t>Whether the intended duration of the relationship is likely to be substantial;</w:t>
      </w:r>
    </w:p>
    <w:p w14:paraId="693CD092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t>Whether it is reasonable to conclude that the parties would consider the relationship when contracting for insurance;</w:t>
      </w:r>
    </w:p>
    <w:p w14:paraId="09A7DBBB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t>The age of the respective parties;</w:t>
      </w:r>
    </w:p>
    <w:p w14:paraId="4E717138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t>Whether a separate residence is established;</w:t>
      </w:r>
    </w:p>
    <w:p w14:paraId="58BDEDC8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t>The self-sufficiency of the person;</w:t>
      </w:r>
    </w:p>
    <w:p w14:paraId="5EEE8B84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lastRenderedPageBreak/>
        <w:t>The frequency and duration of stays in the residence;</w:t>
      </w:r>
    </w:p>
    <w:p w14:paraId="76A6AA8B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t>Whether personal possessions remain in the home;</w:t>
      </w:r>
    </w:p>
    <w:p w14:paraId="6D77832E" w14:textId="77777777" w:rsid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t>Whether a person is driving or has the opportunity to drive cars interchangeably rather than by merely causal use; and,</w:t>
      </w:r>
    </w:p>
    <w:p w14:paraId="09A05B36" w14:textId="139C47B4" w:rsidR="00C90430" w:rsidRPr="00A145C0" w:rsidRDefault="00C90430" w:rsidP="00A145C0">
      <w:pPr>
        <w:pStyle w:val="NoSpacing"/>
        <w:numPr>
          <w:ilvl w:val="0"/>
          <w:numId w:val="1"/>
        </w:numPr>
        <w:tabs>
          <w:tab w:val="left" w:pos="900"/>
        </w:tabs>
        <w:spacing w:line="480" w:lineRule="auto"/>
        <w:ind w:left="900" w:hanging="450"/>
        <w:jc w:val="both"/>
        <w:rPr>
          <w:rFonts w:ascii="Times New Roman" w:hAnsi="Times New Roman"/>
          <w:sz w:val="26"/>
          <w:szCs w:val="26"/>
        </w:rPr>
      </w:pPr>
      <w:r w:rsidRPr="00A145C0">
        <w:rPr>
          <w:rFonts w:ascii="Times New Roman" w:hAnsi="Times New Roman"/>
          <w:sz w:val="26"/>
          <w:szCs w:val="26"/>
        </w:rPr>
        <w:t>Whether the residence continues to be the mailing address of the parties.</w:t>
      </w:r>
    </w:p>
    <w:p w14:paraId="67D7E1A9" w14:textId="77777777" w:rsidR="00C90430" w:rsidRPr="00C90430" w:rsidRDefault="00C90430" w:rsidP="008D350B">
      <w:pPr>
        <w:pStyle w:val="NoSpacing"/>
        <w:spacing w:line="480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C90430">
        <w:rPr>
          <w:rFonts w:ascii="Times New Roman" w:hAnsi="Times New Roman"/>
          <w:sz w:val="26"/>
          <w:szCs w:val="26"/>
        </w:rPr>
        <w:t xml:space="preserve">A determination of residency </w:t>
      </w:r>
      <w:proofErr w:type="gramStart"/>
      <w:r w:rsidRPr="00C90430">
        <w:rPr>
          <w:rFonts w:ascii="Times New Roman" w:hAnsi="Times New Roman"/>
          <w:sz w:val="26"/>
          <w:szCs w:val="26"/>
        </w:rPr>
        <w:t>is based</w:t>
      </w:r>
      <w:proofErr w:type="gramEnd"/>
      <w:r w:rsidRPr="00C90430">
        <w:rPr>
          <w:rFonts w:ascii="Times New Roman" w:hAnsi="Times New Roman"/>
          <w:sz w:val="26"/>
          <w:szCs w:val="26"/>
        </w:rPr>
        <w:t xml:space="preserve"> upon the facts of each individual case. Consider all of the relevant facts and circumstances in determining whethe</w:t>
      </w:r>
      <w:r>
        <w:rPr>
          <w:rFonts w:ascii="Times New Roman" w:hAnsi="Times New Roman"/>
          <w:sz w:val="26"/>
          <w:szCs w:val="26"/>
        </w:rPr>
        <w:t>r _____ was a resident of _____’</w:t>
      </w:r>
      <w:r w:rsidRPr="00C90430">
        <w:rPr>
          <w:rFonts w:ascii="Times New Roman" w:hAnsi="Times New Roman"/>
          <w:sz w:val="26"/>
          <w:szCs w:val="26"/>
        </w:rPr>
        <w:t>s household at the time of the (accident) (injury). No single factor is controlling, but all of the elements must combine to a greater or lesser degree to establish the relationship.</w:t>
      </w:r>
    </w:p>
    <w:p w14:paraId="5FF8EF54" w14:textId="5B4CBBB1" w:rsidR="00C90430" w:rsidRPr="00C90430" w:rsidRDefault="00C90430" w:rsidP="008D350B">
      <w:pPr>
        <w:pStyle w:val="NoSpacing"/>
        <w:spacing w:line="480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C90430">
        <w:rPr>
          <w:rFonts w:ascii="Times New Roman" w:hAnsi="Times New Roman"/>
          <w:sz w:val="26"/>
          <w:szCs w:val="26"/>
        </w:rPr>
        <w:t>The burden of proof on the issue of whethe</w:t>
      </w:r>
      <w:r w:rsidR="009B4FD3">
        <w:rPr>
          <w:rFonts w:ascii="Times New Roman" w:hAnsi="Times New Roman"/>
          <w:sz w:val="26"/>
          <w:szCs w:val="26"/>
        </w:rPr>
        <w:t>r _____ was a resident of _____’</w:t>
      </w:r>
      <w:r w:rsidRPr="00C90430">
        <w:rPr>
          <w:rFonts w:ascii="Times New Roman" w:hAnsi="Times New Roman"/>
          <w:sz w:val="26"/>
          <w:szCs w:val="26"/>
        </w:rPr>
        <w:t>s household is upon (plaintiff).</w:t>
      </w:r>
    </w:p>
    <w:p w14:paraId="6C0248AC" w14:textId="3231570C" w:rsidR="00C90430" w:rsidRPr="00C90430" w:rsidRDefault="00C90430" w:rsidP="009B4FD3">
      <w:pPr>
        <w:pStyle w:val="NoSpacing"/>
        <w:spacing w:line="480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C90430">
        <w:rPr>
          <w:rFonts w:ascii="Times New Roman" w:hAnsi="Times New Roman"/>
          <w:sz w:val="26"/>
          <w:szCs w:val="26"/>
        </w:rPr>
        <w:t>If, after review of all the facts and circumstances in this case you find that (pla</w:t>
      </w:r>
      <w:r w:rsidR="009B4FD3">
        <w:rPr>
          <w:rFonts w:ascii="Times New Roman" w:hAnsi="Times New Roman"/>
          <w:sz w:val="26"/>
          <w:szCs w:val="26"/>
        </w:rPr>
        <w:t>intiff) was a resident of _____’</w:t>
      </w:r>
      <w:r w:rsidRPr="00C90430">
        <w:rPr>
          <w:rFonts w:ascii="Times New Roman" w:hAnsi="Times New Roman"/>
          <w:sz w:val="26"/>
          <w:szCs w:val="26"/>
        </w:rPr>
        <w:t>s household at the time of the (accident) (injury), you should answer questio</w:t>
      </w:r>
      <w:r>
        <w:rPr>
          <w:rFonts w:ascii="Times New Roman" w:hAnsi="Times New Roman"/>
          <w:sz w:val="26"/>
          <w:szCs w:val="26"/>
        </w:rPr>
        <w:t>n _____ on the Special Verdict “yes.”</w:t>
      </w:r>
      <w:r w:rsidRPr="00C90430">
        <w:rPr>
          <w:rFonts w:ascii="Times New Roman" w:hAnsi="Times New Roman"/>
          <w:sz w:val="26"/>
          <w:szCs w:val="26"/>
        </w:rPr>
        <w:t xml:space="preserve"> If not, y</w:t>
      </w:r>
      <w:r>
        <w:rPr>
          <w:rFonts w:ascii="Times New Roman" w:hAnsi="Times New Roman"/>
          <w:sz w:val="26"/>
          <w:szCs w:val="26"/>
        </w:rPr>
        <w:t>ou should answer that question “no.”</w:t>
      </w:r>
    </w:p>
    <w:p w14:paraId="2EAAE28D" w14:textId="0691E146" w:rsidR="0026127B" w:rsidRDefault="0026127B" w:rsidP="009B4FD3">
      <w:pPr>
        <w:jc w:val="both"/>
        <w:rPr>
          <w:sz w:val="26"/>
          <w:szCs w:val="26"/>
        </w:rPr>
      </w:pPr>
    </w:p>
    <w:p w14:paraId="257BF76C" w14:textId="77777777" w:rsidR="009B4FD3" w:rsidRPr="009B4FD3" w:rsidRDefault="009B4FD3" w:rsidP="009B4FD3">
      <w:pPr>
        <w:jc w:val="both"/>
        <w:rPr>
          <w:sz w:val="26"/>
          <w:szCs w:val="26"/>
        </w:rPr>
      </w:pPr>
    </w:p>
    <w:p w14:paraId="6905C2A4" w14:textId="3731E568" w:rsidR="00C90430" w:rsidRPr="00C90430" w:rsidRDefault="00C90430" w:rsidP="009B4FD3">
      <w:pPr>
        <w:jc w:val="both"/>
        <w:rPr>
          <w:rFonts w:ascii="Times New Roman" w:hAnsi="Times New Roman"/>
          <w:b/>
          <w:sz w:val="22"/>
          <w:szCs w:val="22"/>
        </w:rPr>
      </w:pPr>
      <w:r w:rsidRPr="00C90430">
        <w:rPr>
          <w:rFonts w:ascii="Times New Roman" w:hAnsi="Times New Roman"/>
          <w:b/>
          <w:sz w:val="22"/>
          <w:szCs w:val="22"/>
        </w:rPr>
        <w:t>COMMENT</w:t>
      </w:r>
    </w:p>
    <w:p w14:paraId="1D090E15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7F6E02CF" w14:textId="67BEFD54" w:rsidR="00C90430" w:rsidRPr="00FF04E5" w:rsidRDefault="00C90430" w:rsidP="00C90430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C90430">
        <w:rPr>
          <w:rFonts w:ascii="Times New Roman" w:hAnsi="Times New Roman"/>
          <w:sz w:val="22"/>
          <w:szCs w:val="22"/>
        </w:rPr>
        <w:t xml:space="preserve">This instruction and comment </w:t>
      </w:r>
      <w:proofErr w:type="gramStart"/>
      <w:r w:rsidRPr="00C90430">
        <w:rPr>
          <w:rFonts w:ascii="Times New Roman" w:hAnsi="Times New Roman"/>
          <w:sz w:val="22"/>
          <w:szCs w:val="22"/>
        </w:rPr>
        <w:t>were approved in 2002 and revised in 2012</w:t>
      </w:r>
      <w:proofErr w:type="gramEnd"/>
      <w:r w:rsidRPr="00C90430">
        <w:rPr>
          <w:rFonts w:ascii="Times New Roman" w:hAnsi="Times New Roman"/>
          <w:sz w:val="22"/>
          <w:szCs w:val="22"/>
        </w:rPr>
        <w:t xml:space="preserve">. The comment </w:t>
      </w:r>
      <w:proofErr w:type="gramStart"/>
      <w:r w:rsidRPr="00C90430">
        <w:rPr>
          <w:rFonts w:ascii="Times New Roman" w:hAnsi="Times New Roman"/>
          <w:sz w:val="22"/>
          <w:szCs w:val="22"/>
        </w:rPr>
        <w:t>was also updated</w:t>
      </w:r>
      <w:proofErr w:type="gramEnd"/>
      <w:r w:rsidRPr="00C90430">
        <w:rPr>
          <w:rFonts w:ascii="Times New Roman" w:hAnsi="Times New Roman"/>
          <w:sz w:val="22"/>
          <w:szCs w:val="22"/>
        </w:rPr>
        <w:t xml:space="preserve"> in </w:t>
      </w:r>
      <w:r w:rsidRPr="00FF04E5">
        <w:rPr>
          <w:rFonts w:ascii="Times New Roman" w:hAnsi="Times New Roman"/>
          <w:sz w:val="22"/>
          <w:szCs w:val="22"/>
        </w:rPr>
        <w:t>2003.</w:t>
      </w:r>
      <w:r w:rsidR="00B2604C" w:rsidRPr="00FF04E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2604C" w:rsidRPr="00FF04E5">
        <w:rPr>
          <w:rFonts w:ascii="Times New Roman" w:hAnsi="Times New Roman"/>
          <w:sz w:val="22"/>
          <w:szCs w:val="22"/>
        </w:rPr>
        <w:t>This revision was approved by the Committee</w:t>
      </w:r>
      <w:proofErr w:type="gramEnd"/>
      <w:r w:rsidR="00B2604C" w:rsidRPr="00FF04E5">
        <w:rPr>
          <w:rFonts w:ascii="Times New Roman" w:hAnsi="Times New Roman"/>
          <w:sz w:val="22"/>
          <w:szCs w:val="22"/>
        </w:rPr>
        <w:t xml:space="preserve"> in October 2021; it added to the comment.</w:t>
      </w:r>
    </w:p>
    <w:p w14:paraId="3A6EAE78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43280164" w14:textId="77777777" w:rsidR="00C90430" w:rsidRPr="00C90430" w:rsidRDefault="00C90430" w:rsidP="00C90430">
      <w:pPr>
        <w:ind w:firstLine="45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90430">
        <w:rPr>
          <w:rFonts w:ascii="Times New Roman" w:hAnsi="Times New Roman"/>
          <w:sz w:val="22"/>
          <w:szCs w:val="22"/>
          <w:u w:val="single"/>
        </w:rPr>
        <w:t>Muskevitch</w:t>
      </w:r>
      <w:proofErr w:type="spellEnd"/>
      <w:r w:rsidRPr="00C90430">
        <w:rPr>
          <w:rFonts w:ascii="Times New Roman" w:hAnsi="Times New Roman"/>
          <w:sz w:val="22"/>
          <w:szCs w:val="22"/>
          <w:u w:val="single"/>
        </w:rPr>
        <w:t>-Otto v. Otto</w:t>
      </w:r>
      <w:r w:rsidRPr="00C90430">
        <w:rPr>
          <w:rFonts w:ascii="Times New Roman" w:hAnsi="Times New Roman"/>
          <w:sz w:val="22"/>
          <w:szCs w:val="22"/>
        </w:rPr>
        <w:t xml:space="preserve">, 2001 WI App 242, 248 Wis.2d 1, 635 N.W.2d 611 (Ct. App. 2001); </w:t>
      </w:r>
      <w:proofErr w:type="spellStart"/>
      <w:r w:rsidRPr="00C90430">
        <w:rPr>
          <w:rFonts w:ascii="Times New Roman" w:hAnsi="Times New Roman"/>
          <w:sz w:val="22"/>
          <w:szCs w:val="22"/>
          <w:u w:val="single"/>
        </w:rPr>
        <w:t>Seichter</w:t>
      </w:r>
      <w:proofErr w:type="spellEnd"/>
      <w:r w:rsidRPr="00C90430">
        <w:rPr>
          <w:rFonts w:ascii="Times New Roman" w:hAnsi="Times New Roman"/>
          <w:sz w:val="22"/>
          <w:szCs w:val="22"/>
          <w:u w:val="single"/>
        </w:rPr>
        <w:t xml:space="preserve"> v. McDonald</w:t>
      </w:r>
      <w:r w:rsidRPr="00C90430">
        <w:rPr>
          <w:rFonts w:ascii="Times New Roman" w:hAnsi="Times New Roman"/>
          <w:sz w:val="22"/>
          <w:szCs w:val="22"/>
        </w:rPr>
        <w:t>, 228 Wis.2d 838, 845, 599</w:t>
      </w:r>
      <w:bookmarkStart w:id="0" w:name="_GoBack"/>
      <w:bookmarkEnd w:id="0"/>
      <w:r w:rsidRPr="00C90430">
        <w:rPr>
          <w:rFonts w:ascii="Times New Roman" w:hAnsi="Times New Roman"/>
          <w:sz w:val="22"/>
          <w:szCs w:val="22"/>
        </w:rPr>
        <w:t xml:space="preserve"> N.W.2d 71, 74 (Ct. App. 1999); </w:t>
      </w:r>
      <w:r w:rsidRPr="00C90430">
        <w:rPr>
          <w:rFonts w:ascii="Times New Roman" w:hAnsi="Times New Roman"/>
          <w:sz w:val="22"/>
          <w:szCs w:val="22"/>
          <w:u w:val="single"/>
        </w:rPr>
        <w:t>Ross v. Martini</w:t>
      </w:r>
      <w:r w:rsidRPr="00C90430">
        <w:rPr>
          <w:rFonts w:ascii="Times New Roman" w:hAnsi="Times New Roman"/>
          <w:sz w:val="22"/>
          <w:szCs w:val="22"/>
        </w:rPr>
        <w:t xml:space="preserve">, 204 Wis.2d 354, 555 N.W.2d 381, (Ct. App. 1996); </w:t>
      </w:r>
      <w:proofErr w:type="spellStart"/>
      <w:r w:rsidRPr="00C90430">
        <w:rPr>
          <w:rFonts w:ascii="Times New Roman" w:hAnsi="Times New Roman"/>
          <w:sz w:val="22"/>
          <w:szCs w:val="22"/>
          <w:u w:val="single"/>
        </w:rPr>
        <w:t>Londre</w:t>
      </w:r>
      <w:proofErr w:type="spellEnd"/>
      <w:r w:rsidRPr="00C90430">
        <w:rPr>
          <w:rFonts w:ascii="Times New Roman" w:hAnsi="Times New Roman"/>
          <w:sz w:val="22"/>
          <w:szCs w:val="22"/>
          <w:u w:val="single"/>
        </w:rPr>
        <w:t xml:space="preserve"> v. Continental Western Ins. Co.</w:t>
      </w:r>
      <w:r w:rsidRPr="00C90430">
        <w:rPr>
          <w:rFonts w:ascii="Times New Roman" w:hAnsi="Times New Roman"/>
          <w:sz w:val="22"/>
          <w:szCs w:val="22"/>
        </w:rPr>
        <w:t xml:space="preserve">, 117 Wis.2d 54, 58, 343 N.W.2d </w:t>
      </w:r>
      <w:r w:rsidRPr="00C90430">
        <w:rPr>
          <w:rFonts w:ascii="Times New Roman" w:hAnsi="Times New Roman"/>
          <w:sz w:val="22"/>
          <w:szCs w:val="22"/>
        </w:rPr>
        <w:lastRenderedPageBreak/>
        <w:t xml:space="preserve">128 (Ct. App. 1983); </w:t>
      </w:r>
      <w:r w:rsidRPr="00C90430">
        <w:rPr>
          <w:rFonts w:ascii="Times New Roman" w:hAnsi="Times New Roman"/>
          <w:sz w:val="22"/>
          <w:szCs w:val="22"/>
          <w:u w:val="single"/>
        </w:rPr>
        <w:t xml:space="preserve">Belling v. </w:t>
      </w:r>
      <w:proofErr w:type="spellStart"/>
      <w:r w:rsidRPr="00C90430">
        <w:rPr>
          <w:rFonts w:ascii="Times New Roman" w:hAnsi="Times New Roman"/>
          <w:sz w:val="22"/>
          <w:szCs w:val="22"/>
          <w:u w:val="single"/>
        </w:rPr>
        <w:t>Harn</w:t>
      </w:r>
      <w:proofErr w:type="spellEnd"/>
      <w:r w:rsidRPr="00C90430">
        <w:rPr>
          <w:rFonts w:ascii="Times New Roman" w:hAnsi="Times New Roman"/>
          <w:sz w:val="22"/>
          <w:szCs w:val="22"/>
        </w:rPr>
        <w:t xml:space="preserve">, 65 Wis.2d 108, 112-114 (1974); </w:t>
      </w:r>
      <w:proofErr w:type="spellStart"/>
      <w:r w:rsidRPr="00C90430">
        <w:rPr>
          <w:rFonts w:ascii="Times New Roman" w:hAnsi="Times New Roman"/>
          <w:sz w:val="22"/>
          <w:szCs w:val="22"/>
          <w:u w:val="single"/>
        </w:rPr>
        <w:t>Pamperin</w:t>
      </w:r>
      <w:proofErr w:type="spellEnd"/>
      <w:r w:rsidRPr="00C90430">
        <w:rPr>
          <w:rFonts w:ascii="Times New Roman" w:hAnsi="Times New Roman"/>
          <w:sz w:val="22"/>
          <w:szCs w:val="22"/>
          <w:u w:val="single"/>
        </w:rPr>
        <w:t xml:space="preserve"> v. Milwaukee Mutual Ins</w:t>
      </w:r>
      <w:r w:rsidRPr="00C90430">
        <w:rPr>
          <w:rFonts w:ascii="Times New Roman" w:hAnsi="Times New Roman"/>
          <w:sz w:val="22"/>
          <w:szCs w:val="22"/>
        </w:rPr>
        <w:t xml:space="preserve">., 55 Wis.2d 27, 35-37, 197 N.W.2d 783 (1972); </w:t>
      </w:r>
      <w:proofErr w:type="spellStart"/>
      <w:r w:rsidRPr="00C90430">
        <w:rPr>
          <w:rFonts w:ascii="Times New Roman" w:hAnsi="Times New Roman"/>
          <w:sz w:val="22"/>
          <w:szCs w:val="22"/>
          <w:u w:val="single"/>
        </w:rPr>
        <w:t>Doern</w:t>
      </w:r>
      <w:proofErr w:type="spellEnd"/>
      <w:r w:rsidRPr="00C90430">
        <w:rPr>
          <w:rFonts w:ascii="Times New Roman" w:hAnsi="Times New Roman"/>
          <w:sz w:val="22"/>
          <w:szCs w:val="22"/>
          <w:u w:val="single"/>
        </w:rPr>
        <w:t xml:space="preserve"> v. Crawford</w:t>
      </w:r>
      <w:r w:rsidRPr="00C90430">
        <w:rPr>
          <w:rFonts w:ascii="Times New Roman" w:hAnsi="Times New Roman"/>
          <w:sz w:val="22"/>
          <w:szCs w:val="22"/>
        </w:rPr>
        <w:t xml:space="preserve">, 30 Wis.2d 206, 140 N.W.2d 193 (1966); </w:t>
      </w:r>
      <w:r w:rsidRPr="00C90430">
        <w:rPr>
          <w:rFonts w:ascii="Times New Roman" w:hAnsi="Times New Roman"/>
          <w:sz w:val="22"/>
          <w:szCs w:val="22"/>
          <w:u w:val="single"/>
        </w:rPr>
        <w:t xml:space="preserve">National Farmers Union Property &amp; Casualty v. </w:t>
      </w:r>
      <w:proofErr w:type="spellStart"/>
      <w:r w:rsidRPr="00C90430">
        <w:rPr>
          <w:rFonts w:ascii="Times New Roman" w:hAnsi="Times New Roman"/>
          <w:sz w:val="22"/>
          <w:szCs w:val="22"/>
          <w:u w:val="single"/>
        </w:rPr>
        <w:t>Maca</w:t>
      </w:r>
      <w:proofErr w:type="spellEnd"/>
      <w:r w:rsidRPr="00C90430">
        <w:rPr>
          <w:rFonts w:ascii="Times New Roman" w:hAnsi="Times New Roman"/>
          <w:sz w:val="22"/>
          <w:szCs w:val="22"/>
        </w:rPr>
        <w:t>, 26 Wis.2d 399, 407-408 (1965).</w:t>
      </w:r>
    </w:p>
    <w:p w14:paraId="70CA4453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1AAC0CAE" w14:textId="77777777" w:rsidR="00C90430" w:rsidRPr="00C90430" w:rsidRDefault="00C90430" w:rsidP="00C90430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C90430">
        <w:rPr>
          <w:rFonts w:ascii="Times New Roman" w:hAnsi="Times New Roman"/>
          <w:b/>
          <w:sz w:val="22"/>
          <w:szCs w:val="22"/>
        </w:rPr>
        <w:t>Resident; Member</w:t>
      </w:r>
      <w:r w:rsidRPr="00C90430">
        <w:rPr>
          <w:rFonts w:ascii="Times New Roman" w:hAnsi="Times New Roman"/>
          <w:sz w:val="22"/>
          <w:szCs w:val="22"/>
        </w:rPr>
        <w:t>. Although no</w:t>
      </w:r>
      <w:r>
        <w:rPr>
          <w:rFonts w:ascii="Times New Roman" w:hAnsi="Times New Roman"/>
          <w:sz w:val="22"/>
          <w:szCs w:val="22"/>
        </w:rPr>
        <w:t>t explicitly stated, the terms “resident”</w:t>
      </w:r>
      <w:r w:rsidRPr="00C90430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>r “member”</w:t>
      </w:r>
      <w:r w:rsidRPr="00C90430">
        <w:rPr>
          <w:rFonts w:ascii="Times New Roman" w:hAnsi="Times New Roman"/>
          <w:sz w:val="22"/>
          <w:szCs w:val="22"/>
        </w:rPr>
        <w:t xml:space="preserve"> of a household appear to be equivalent. The Supreme Court has used them interchangeably. </w:t>
      </w:r>
      <w:r w:rsidRPr="00473CF2">
        <w:rPr>
          <w:rFonts w:ascii="Times New Roman" w:hAnsi="Times New Roman"/>
          <w:sz w:val="22"/>
          <w:szCs w:val="22"/>
          <w:u w:val="single"/>
        </w:rPr>
        <w:t>Belling</w:t>
      </w:r>
      <w:r w:rsidRPr="00C90430">
        <w:rPr>
          <w:rFonts w:ascii="Times New Roman" w:hAnsi="Times New Roman"/>
          <w:sz w:val="22"/>
          <w:szCs w:val="22"/>
        </w:rPr>
        <w:t xml:space="preserve">, pp. 109, 111; </w:t>
      </w:r>
      <w:proofErr w:type="spellStart"/>
      <w:r w:rsidRPr="00473CF2">
        <w:rPr>
          <w:rFonts w:ascii="Times New Roman" w:hAnsi="Times New Roman"/>
          <w:sz w:val="22"/>
          <w:szCs w:val="22"/>
          <w:u w:val="single"/>
        </w:rPr>
        <w:t>Pamperin</w:t>
      </w:r>
      <w:proofErr w:type="spellEnd"/>
      <w:r w:rsidRPr="00C90430">
        <w:rPr>
          <w:rFonts w:ascii="Times New Roman" w:hAnsi="Times New Roman"/>
          <w:sz w:val="22"/>
          <w:szCs w:val="22"/>
        </w:rPr>
        <w:t>, pp. 33-34.</w:t>
      </w:r>
    </w:p>
    <w:p w14:paraId="556F31AC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25D171BF" w14:textId="77777777" w:rsidR="00C90430" w:rsidRPr="00C90430" w:rsidRDefault="00053CB4" w:rsidP="00053CB4">
      <w:pPr>
        <w:ind w:firstLine="4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term “</w:t>
      </w:r>
      <w:r w:rsidR="00C90430" w:rsidRPr="00C90430">
        <w:rPr>
          <w:rFonts w:ascii="Times New Roman" w:hAnsi="Times New Roman"/>
          <w:sz w:val="22"/>
          <w:szCs w:val="22"/>
        </w:rPr>
        <w:t>resident</w:t>
      </w:r>
      <w:r>
        <w:rPr>
          <w:rFonts w:ascii="Times New Roman" w:hAnsi="Times New Roman"/>
          <w:sz w:val="22"/>
          <w:szCs w:val="22"/>
        </w:rPr>
        <w:t xml:space="preserve"> or member of the same household”</w:t>
      </w:r>
      <w:r w:rsidR="00C90430" w:rsidRPr="00C90430">
        <w:rPr>
          <w:rFonts w:ascii="Times New Roman" w:hAnsi="Times New Roman"/>
          <w:sz w:val="22"/>
          <w:szCs w:val="22"/>
        </w:rPr>
        <w:t xml:space="preserve"> as used in policies of automobile liability insurance is not ambiguous. It </w:t>
      </w:r>
      <w:proofErr w:type="gramStart"/>
      <w:r w:rsidR="00C90430" w:rsidRPr="00C90430">
        <w:rPr>
          <w:rFonts w:ascii="Times New Roman" w:hAnsi="Times New Roman"/>
          <w:sz w:val="22"/>
          <w:szCs w:val="22"/>
        </w:rPr>
        <w:t>should be given</w:t>
      </w:r>
      <w:proofErr w:type="gramEnd"/>
      <w:r w:rsidR="00C90430" w:rsidRPr="00C90430">
        <w:rPr>
          <w:rFonts w:ascii="Times New Roman" w:hAnsi="Times New Roman"/>
          <w:sz w:val="22"/>
          <w:szCs w:val="22"/>
        </w:rPr>
        <w:t xml:space="preserve"> its plain and common meaning regardless of whether it is used to define exclusion or inclusion from coverage or whether the question is one of creating or terminating the relationship. </w:t>
      </w:r>
      <w:proofErr w:type="spellStart"/>
      <w:r w:rsidR="00C90430" w:rsidRPr="00053CB4">
        <w:rPr>
          <w:rFonts w:ascii="Times New Roman" w:hAnsi="Times New Roman"/>
          <w:sz w:val="22"/>
          <w:szCs w:val="22"/>
          <w:u w:val="single"/>
        </w:rPr>
        <w:t>Pamperin</w:t>
      </w:r>
      <w:proofErr w:type="spellEnd"/>
      <w:r w:rsidR="00C90430" w:rsidRPr="00C90430">
        <w:rPr>
          <w:rFonts w:ascii="Times New Roman" w:hAnsi="Times New Roman"/>
          <w:sz w:val="22"/>
          <w:szCs w:val="22"/>
        </w:rPr>
        <w:t>, p. 37.</w:t>
      </w:r>
    </w:p>
    <w:p w14:paraId="6F057331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3F211197" w14:textId="77777777" w:rsidR="00C90430" w:rsidRPr="00C90430" w:rsidRDefault="00C90430" w:rsidP="00053CB4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053CB4">
        <w:rPr>
          <w:rFonts w:ascii="Times New Roman" w:hAnsi="Times New Roman"/>
          <w:b/>
          <w:sz w:val="22"/>
          <w:szCs w:val="22"/>
        </w:rPr>
        <w:t>Factors</w:t>
      </w:r>
      <w:r w:rsidRPr="00C90430">
        <w:rPr>
          <w:rFonts w:ascii="Times New Roman" w:hAnsi="Times New Roman"/>
          <w:sz w:val="22"/>
          <w:szCs w:val="22"/>
        </w:rPr>
        <w:t xml:space="preserve">. No single factor is the sole or controlling test of whether a person is a resident of a household. </w:t>
      </w:r>
      <w:proofErr w:type="spellStart"/>
      <w:r w:rsidRPr="00053CB4">
        <w:rPr>
          <w:rFonts w:ascii="Times New Roman" w:hAnsi="Times New Roman"/>
          <w:sz w:val="22"/>
          <w:szCs w:val="22"/>
          <w:u w:val="single"/>
        </w:rPr>
        <w:t>Londre</w:t>
      </w:r>
      <w:proofErr w:type="spellEnd"/>
      <w:r w:rsidRPr="00C90430">
        <w:rPr>
          <w:rFonts w:ascii="Times New Roman" w:hAnsi="Times New Roman"/>
          <w:sz w:val="22"/>
          <w:szCs w:val="22"/>
        </w:rPr>
        <w:t>, p. 54. The issue of re</w:t>
      </w:r>
      <w:r w:rsidR="00053CB4">
        <w:rPr>
          <w:rFonts w:ascii="Times New Roman" w:hAnsi="Times New Roman"/>
          <w:sz w:val="22"/>
          <w:szCs w:val="22"/>
        </w:rPr>
        <w:t>sidency for insurance purposes “is fact specific to each case.”</w:t>
      </w:r>
      <w:r w:rsidRPr="00C90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CB4">
        <w:rPr>
          <w:rFonts w:ascii="Times New Roman" w:hAnsi="Times New Roman"/>
          <w:sz w:val="22"/>
          <w:szCs w:val="22"/>
          <w:u w:val="single"/>
        </w:rPr>
        <w:t>Seichter</w:t>
      </w:r>
      <w:proofErr w:type="spellEnd"/>
      <w:r w:rsidRPr="00C90430">
        <w:rPr>
          <w:rFonts w:ascii="Times New Roman" w:hAnsi="Times New Roman"/>
          <w:sz w:val="22"/>
          <w:szCs w:val="22"/>
        </w:rPr>
        <w:t xml:space="preserve">, p. 845. The </w:t>
      </w:r>
      <w:proofErr w:type="spellStart"/>
      <w:r w:rsidRPr="00053CB4">
        <w:rPr>
          <w:rFonts w:ascii="Times New Roman" w:hAnsi="Times New Roman"/>
          <w:sz w:val="22"/>
          <w:szCs w:val="22"/>
          <w:u w:val="single"/>
        </w:rPr>
        <w:t>Seichter</w:t>
      </w:r>
      <w:proofErr w:type="spellEnd"/>
      <w:r w:rsidRPr="00C90430">
        <w:rPr>
          <w:rFonts w:ascii="Times New Roman" w:hAnsi="Times New Roman"/>
          <w:sz w:val="22"/>
          <w:szCs w:val="22"/>
        </w:rPr>
        <w:t xml:space="preserve"> court approved use of considerations from a Minnesota case, </w:t>
      </w:r>
      <w:proofErr w:type="spellStart"/>
      <w:r w:rsidRPr="00053CB4">
        <w:rPr>
          <w:rFonts w:ascii="Times New Roman" w:hAnsi="Times New Roman"/>
          <w:sz w:val="22"/>
          <w:szCs w:val="22"/>
          <w:u w:val="single"/>
        </w:rPr>
        <w:t>Schoer</w:t>
      </w:r>
      <w:proofErr w:type="spellEnd"/>
      <w:r w:rsidRPr="00053CB4">
        <w:rPr>
          <w:rFonts w:ascii="Times New Roman" w:hAnsi="Times New Roman"/>
          <w:sz w:val="22"/>
          <w:szCs w:val="22"/>
          <w:u w:val="single"/>
        </w:rPr>
        <w:t xml:space="preserve"> v. West Bend Mutual Ins. Co.</w:t>
      </w:r>
      <w:r w:rsidRPr="00C90430">
        <w:rPr>
          <w:rFonts w:ascii="Times New Roman" w:hAnsi="Times New Roman"/>
          <w:sz w:val="22"/>
          <w:szCs w:val="22"/>
        </w:rPr>
        <w:t xml:space="preserve">, 473 N.W.2d 73, 76 (Minn. App. 1991) which had been cited with approval in </w:t>
      </w:r>
      <w:r w:rsidRPr="00053CB4">
        <w:rPr>
          <w:rFonts w:ascii="Times New Roman" w:hAnsi="Times New Roman"/>
          <w:sz w:val="22"/>
          <w:szCs w:val="22"/>
          <w:u w:val="single"/>
        </w:rPr>
        <w:t>Ross v. Martini</w:t>
      </w:r>
      <w:r w:rsidRPr="00C90430">
        <w:rPr>
          <w:rFonts w:ascii="Times New Roman" w:hAnsi="Times New Roman"/>
          <w:sz w:val="22"/>
          <w:szCs w:val="22"/>
        </w:rPr>
        <w:t xml:space="preserve">, </w:t>
      </w:r>
      <w:r w:rsidRPr="00053CB4">
        <w:rPr>
          <w:rFonts w:ascii="Times New Roman" w:hAnsi="Times New Roman"/>
          <w:sz w:val="22"/>
          <w:szCs w:val="22"/>
          <w:u w:val="single"/>
        </w:rPr>
        <w:t>supra</w:t>
      </w:r>
      <w:r w:rsidRPr="00C90430">
        <w:rPr>
          <w:rFonts w:ascii="Times New Roman" w:hAnsi="Times New Roman"/>
          <w:sz w:val="22"/>
          <w:szCs w:val="22"/>
        </w:rPr>
        <w:t>. The list of factors in paragraph 4 is not exhaustive.</w:t>
      </w:r>
    </w:p>
    <w:p w14:paraId="72ACB22F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663C973A" w14:textId="77777777" w:rsidR="00C90430" w:rsidRPr="00C90430" w:rsidRDefault="00C90430" w:rsidP="00053CB4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DF437D">
        <w:rPr>
          <w:rFonts w:ascii="Times New Roman" w:hAnsi="Times New Roman"/>
          <w:sz w:val="22"/>
          <w:szCs w:val="22"/>
        </w:rPr>
        <w:t xml:space="preserve">Unmarried persons can be residents of the same household, but whether they are depends on the facts in each case. </w:t>
      </w:r>
      <w:r w:rsidRPr="00DF437D">
        <w:rPr>
          <w:rFonts w:ascii="Times New Roman" w:hAnsi="Times New Roman"/>
          <w:sz w:val="22"/>
          <w:szCs w:val="22"/>
          <w:u w:val="single"/>
        </w:rPr>
        <w:t>Quinlan v. Coombs</w:t>
      </w:r>
      <w:r w:rsidRPr="00DF437D">
        <w:rPr>
          <w:rFonts w:ascii="Times New Roman" w:hAnsi="Times New Roman"/>
          <w:sz w:val="22"/>
          <w:szCs w:val="22"/>
        </w:rPr>
        <w:t>, 105 Wis.2d 330, 333, 314 N.W.2d 125, (Ct. App. 1981).</w:t>
      </w:r>
    </w:p>
    <w:p w14:paraId="3D828A7A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54072E34" w14:textId="77777777" w:rsidR="00C90430" w:rsidRPr="00C90430" w:rsidRDefault="00C90430" w:rsidP="00053CB4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053CB4">
        <w:rPr>
          <w:rFonts w:ascii="Times New Roman" w:hAnsi="Times New Roman"/>
          <w:b/>
          <w:sz w:val="22"/>
          <w:szCs w:val="22"/>
        </w:rPr>
        <w:t>Residence Distinguished from Domicile</w:t>
      </w:r>
      <w:r w:rsidR="00053CB4">
        <w:rPr>
          <w:rFonts w:ascii="Times New Roman" w:hAnsi="Times New Roman"/>
          <w:sz w:val="22"/>
          <w:szCs w:val="22"/>
        </w:rPr>
        <w:t>. “It might be said that ‘</w:t>
      </w:r>
      <w:r w:rsidRPr="00C90430">
        <w:rPr>
          <w:rFonts w:ascii="Times New Roman" w:hAnsi="Times New Roman"/>
          <w:sz w:val="22"/>
          <w:szCs w:val="22"/>
        </w:rPr>
        <w:t>domic</w:t>
      </w:r>
      <w:r w:rsidR="00053CB4">
        <w:rPr>
          <w:rFonts w:ascii="Times New Roman" w:hAnsi="Times New Roman"/>
          <w:sz w:val="22"/>
          <w:szCs w:val="22"/>
        </w:rPr>
        <w:t>ile’ includes residence, but ‘residence’</w:t>
      </w:r>
      <w:r w:rsidRPr="00C90430">
        <w:rPr>
          <w:rFonts w:ascii="Times New Roman" w:hAnsi="Times New Roman"/>
          <w:sz w:val="22"/>
          <w:szCs w:val="22"/>
        </w:rPr>
        <w:t xml:space="preserve"> does not necessarily include domicile. Domicile is generally regarded as the place where a man has his fixed and permanent home or residence to which he intends to return w</w:t>
      </w:r>
      <w:r w:rsidR="00053CB4">
        <w:rPr>
          <w:rFonts w:ascii="Times New Roman" w:hAnsi="Times New Roman"/>
          <w:sz w:val="22"/>
          <w:szCs w:val="22"/>
        </w:rPr>
        <w:t>henever he is absent therefrom.”</w:t>
      </w:r>
      <w:r w:rsidRPr="00C90430">
        <w:rPr>
          <w:rFonts w:ascii="Times New Roman" w:hAnsi="Times New Roman"/>
          <w:sz w:val="22"/>
          <w:szCs w:val="22"/>
        </w:rPr>
        <w:t xml:space="preserve"> </w:t>
      </w:r>
      <w:r w:rsidRPr="00053CB4">
        <w:rPr>
          <w:rFonts w:ascii="Times New Roman" w:hAnsi="Times New Roman"/>
          <w:sz w:val="22"/>
          <w:szCs w:val="22"/>
          <w:u w:val="single"/>
        </w:rPr>
        <w:t>Estate of Daniels</w:t>
      </w:r>
      <w:r w:rsidRPr="00C90430">
        <w:rPr>
          <w:rFonts w:ascii="Times New Roman" w:hAnsi="Times New Roman"/>
          <w:sz w:val="22"/>
          <w:szCs w:val="22"/>
        </w:rPr>
        <w:t>, 53 Wis.2d 611, 614-5 (1971).</w:t>
      </w:r>
    </w:p>
    <w:p w14:paraId="32847076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1DDB241A" w14:textId="77777777" w:rsidR="00C90430" w:rsidRPr="00C90430" w:rsidRDefault="00C90430" w:rsidP="00053CB4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C90430">
        <w:rPr>
          <w:rFonts w:ascii="Times New Roman" w:hAnsi="Times New Roman"/>
          <w:sz w:val="22"/>
          <w:szCs w:val="22"/>
        </w:rPr>
        <w:t>The length of time necessary to establish residency for insur</w:t>
      </w:r>
      <w:r w:rsidR="00053CB4">
        <w:rPr>
          <w:rFonts w:ascii="Times New Roman" w:hAnsi="Times New Roman"/>
          <w:sz w:val="22"/>
          <w:szCs w:val="22"/>
        </w:rPr>
        <w:t>ance purposes is sufficient if “</w:t>
      </w:r>
      <w:r w:rsidRPr="00C90430">
        <w:rPr>
          <w:rFonts w:ascii="Times New Roman" w:hAnsi="Times New Roman"/>
          <w:sz w:val="22"/>
          <w:szCs w:val="22"/>
        </w:rPr>
        <w:t>the intended durati</w:t>
      </w:r>
      <w:r w:rsidR="00053CB4">
        <w:rPr>
          <w:rFonts w:ascii="Times New Roman" w:hAnsi="Times New Roman"/>
          <w:sz w:val="22"/>
          <w:szCs w:val="22"/>
        </w:rPr>
        <w:t>on is likely to be substantial.”</w:t>
      </w:r>
      <w:r w:rsidRPr="00C90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CB4">
        <w:rPr>
          <w:rFonts w:ascii="Times New Roman" w:hAnsi="Times New Roman"/>
          <w:sz w:val="22"/>
          <w:szCs w:val="22"/>
          <w:u w:val="single"/>
        </w:rPr>
        <w:t>Pamperin</w:t>
      </w:r>
      <w:proofErr w:type="spellEnd"/>
      <w:r w:rsidR="00053CB4">
        <w:rPr>
          <w:rFonts w:ascii="Times New Roman" w:hAnsi="Times New Roman"/>
          <w:sz w:val="22"/>
          <w:szCs w:val="22"/>
        </w:rPr>
        <w:t>, p. 37 “</w:t>
      </w:r>
      <w:r w:rsidRPr="00C90430">
        <w:rPr>
          <w:rFonts w:ascii="Times New Roman" w:hAnsi="Times New Roman"/>
          <w:sz w:val="22"/>
          <w:szCs w:val="22"/>
        </w:rPr>
        <w:t>[W]</w:t>
      </w:r>
      <w:proofErr w:type="spellStart"/>
      <w:r w:rsidRPr="00C90430">
        <w:rPr>
          <w:rFonts w:ascii="Times New Roman" w:hAnsi="Times New Roman"/>
          <w:sz w:val="22"/>
          <w:szCs w:val="22"/>
        </w:rPr>
        <w:t>hile</w:t>
      </w:r>
      <w:proofErr w:type="spellEnd"/>
      <w:r w:rsidRPr="00C90430">
        <w:rPr>
          <w:rFonts w:ascii="Times New Roman" w:hAnsi="Times New Roman"/>
          <w:sz w:val="22"/>
          <w:szCs w:val="22"/>
        </w:rPr>
        <w:t xml:space="preserve"> the intended duration does not require the permanency generally associated with the establishment of a legal domicile, something more is required</w:t>
      </w:r>
      <w:r w:rsidR="00053CB4">
        <w:rPr>
          <w:rFonts w:ascii="Times New Roman" w:hAnsi="Times New Roman"/>
          <w:sz w:val="22"/>
          <w:szCs w:val="22"/>
        </w:rPr>
        <w:t xml:space="preserve"> than a mere temporary sojourn.”</w:t>
      </w:r>
      <w:r w:rsidRPr="00C90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CB4">
        <w:rPr>
          <w:rFonts w:ascii="Times New Roman" w:hAnsi="Times New Roman"/>
          <w:sz w:val="22"/>
          <w:szCs w:val="22"/>
          <w:u w:val="single"/>
        </w:rPr>
        <w:t>Pamperin</w:t>
      </w:r>
      <w:proofErr w:type="spellEnd"/>
      <w:r w:rsidRPr="00C90430">
        <w:rPr>
          <w:rFonts w:ascii="Times New Roman" w:hAnsi="Times New Roman"/>
          <w:sz w:val="22"/>
          <w:szCs w:val="22"/>
        </w:rPr>
        <w:t>, p. 35.</w:t>
      </w:r>
    </w:p>
    <w:p w14:paraId="7B04CCFD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0238F40F" w14:textId="77777777" w:rsidR="00C90430" w:rsidRPr="00C90430" w:rsidRDefault="00C90430" w:rsidP="0008024E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C90430">
        <w:rPr>
          <w:rFonts w:ascii="Times New Roman" w:hAnsi="Times New Roman"/>
          <w:sz w:val="22"/>
          <w:szCs w:val="22"/>
        </w:rPr>
        <w:t xml:space="preserve">Thus, a person may have only one domicile but may have more than one household for insurance purposes. </w:t>
      </w:r>
      <w:proofErr w:type="spellStart"/>
      <w:r w:rsidRPr="0008024E">
        <w:rPr>
          <w:rFonts w:ascii="Times New Roman" w:hAnsi="Times New Roman"/>
          <w:sz w:val="22"/>
          <w:szCs w:val="22"/>
          <w:u w:val="single"/>
        </w:rPr>
        <w:t>Londre</w:t>
      </w:r>
      <w:proofErr w:type="spellEnd"/>
      <w:r w:rsidRPr="00C90430">
        <w:rPr>
          <w:rFonts w:ascii="Times New Roman" w:hAnsi="Times New Roman"/>
          <w:sz w:val="22"/>
          <w:szCs w:val="22"/>
        </w:rPr>
        <w:t>, p. 58.</w:t>
      </w:r>
    </w:p>
    <w:p w14:paraId="5DF79786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7E7CD2BC" w14:textId="77777777" w:rsidR="00C90430" w:rsidRPr="00C90430" w:rsidRDefault="00C90430" w:rsidP="0008024E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08024E">
        <w:rPr>
          <w:rFonts w:ascii="Times New Roman" w:hAnsi="Times New Roman"/>
          <w:b/>
          <w:sz w:val="22"/>
          <w:szCs w:val="22"/>
        </w:rPr>
        <w:t>Children</w:t>
      </w:r>
      <w:r w:rsidRPr="00C90430">
        <w:rPr>
          <w:rFonts w:ascii="Times New Roman" w:hAnsi="Times New Roman"/>
          <w:sz w:val="22"/>
          <w:szCs w:val="22"/>
        </w:rPr>
        <w:t xml:space="preserve">. A child placed in a family-operated foster home pursuant to a court dispositional order under sec. 48.34 Stats. </w:t>
      </w:r>
      <w:proofErr w:type="gramStart"/>
      <w:r w:rsidRPr="00C90430">
        <w:rPr>
          <w:rFonts w:ascii="Times New Roman" w:hAnsi="Times New Roman"/>
          <w:sz w:val="22"/>
          <w:szCs w:val="22"/>
        </w:rPr>
        <w:t>is</w:t>
      </w:r>
      <w:proofErr w:type="gramEnd"/>
      <w:r w:rsidRPr="00C90430">
        <w:rPr>
          <w:rFonts w:ascii="Times New Roman" w:hAnsi="Times New Roman"/>
          <w:sz w:val="22"/>
          <w:szCs w:val="22"/>
        </w:rPr>
        <w:t xml:space="preserve"> considered a resident of that household for insurance purposes. </w:t>
      </w:r>
      <w:r w:rsidRPr="0008024E">
        <w:rPr>
          <w:rFonts w:ascii="Times New Roman" w:hAnsi="Times New Roman"/>
          <w:sz w:val="22"/>
          <w:szCs w:val="22"/>
          <w:u w:val="single"/>
        </w:rPr>
        <w:t>A.G. v. Travelers Ins. Co.</w:t>
      </w:r>
      <w:r w:rsidRPr="00C90430">
        <w:rPr>
          <w:rFonts w:ascii="Times New Roman" w:hAnsi="Times New Roman"/>
          <w:sz w:val="22"/>
          <w:szCs w:val="22"/>
        </w:rPr>
        <w:t>, 112 Wis.2d 18, 24 (Ct. App. 1983).</w:t>
      </w:r>
    </w:p>
    <w:p w14:paraId="15AD6C16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39185026" w14:textId="77777777" w:rsidR="00C90430" w:rsidRPr="00C90430" w:rsidRDefault="00C90430" w:rsidP="00A523B3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C90430">
        <w:rPr>
          <w:rFonts w:ascii="Times New Roman" w:hAnsi="Times New Roman"/>
          <w:sz w:val="22"/>
          <w:szCs w:val="22"/>
        </w:rPr>
        <w:t xml:space="preserve">The intent of minor children of divorced parents </w:t>
      </w:r>
      <w:proofErr w:type="gramStart"/>
      <w:r w:rsidRPr="00C90430">
        <w:rPr>
          <w:rFonts w:ascii="Times New Roman" w:hAnsi="Times New Roman"/>
          <w:sz w:val="22"/>
          <w:szCs w:val="22"/>
        </w:rPr>
        <w:t>is discussed</w:t>
      </w:r>
      <w:proofErr w:type="gramEnd"/>
      <w:r w:rsidRPr="00C90430">
        <w:rPr>
          <w:rFonts w:ascii="Times New Roman" w:hAnsi="Times New Roman"/>
          <w:sz w:val="22"/>
          <w:szCs w:val="22"/>
        </w:rPr>
        <w:t xml:space="preserve"> in </w:t>
      </w:r>
      <w:r w:rsidRPr="00A523B3">
        <w:rPr>
          <w:rFonts w:ascii="Times New Roman" w:hAnsi="Times New Roman"/>
          <w:sz w:val="22"/>
          <w:szCs w:val="22"/>
          <w:u w:val="single"/>
        </w:rPr>
        <w:t>Ross v. Martini</w:t>
      </w:r>
      <w:r w:rsidRPr="00C90430">
        <w:rPr>
          <w:rFonts w:ascii="Times New Roman" w:hAnsi="Times New Roman"/>
          <w:sz w:val="22"/>
          <w:szCs w:val="22"/>
        </w:rPr>
        <w:t xml:space="preserve">, </w:t>
      </w:r>
      <w:r w:rsidRPr="00A523B3">
        <w:rPr>
          <w:rFonts w:ascii="Times New Roman" w:hAnsi="Times New Roman"/>
          <w:sz w:val="22"/>
          <w:szCs w:val="22"/>
          <w:u w:val="single"/>
        </w:rPr>
        <w:t>supra</w:t>
      </w:r>
      <w:r w:rsidRPr="00C90430">
        <w:rPr>
          <w:rFonts w:ascii="Times New Roman" w:hAnsi="Times New Roman"/>
          <w:sz w:val="22"/>
          <w:szCs w:val="22"/>
        </w:rPr>
        <w:t xml:space="preserve">, pp. 358-9. Where the child is of tender years, the finder of fact would </w:t>
      </w:r>
      <w:r w:rsidR="00A523B3">
        <w:rPr>
          <w:rFonts w:ascii="Times New Roman" w:hAnsi="Times New Roman"/>
          <w:sz w:val="22"/>
          <w:szCs w:val="22"/>
        </w:rPr>
        <w:t>look to the intent of the child’</w:t>
      </w:r>
      <w:r w:rsidRPr="00C90430">
        <w:rPr>
          <w:rFonts w:ascii="Times New Roman" w:hAnsi="Times New Roman"/>
          <w:sz w:val="22"/>
          <w:szCs w:val="22"/>
        </w:rPr>
        <w:t xml:space="preserve">s parent or custodian. </w:t>
      </w:r>
      <w:proofErr w:type="spellStart"/>
      <w:r w:rsidRPr="00A523B3">
        <w:rPr>
          <w:rFonts w:ascii="Times New Roman" w:hAnsi="Times New Roman"/>
          <w:sz w:val="22"/>
          <w:szCs w:val="22"/>
          <w:u w:val="single"/>
        </w:rPr>
        <w:t>Muskevitch</w:t>
      </w:r>
      <w:proofErr w:type="spellEnd"/>
      <w:r w:rsidRPr="00A523B3">
        <w:rPr>
          <w:rFonts w:ascii="Times New Roman" w:hAnsi="Times New Roman"/>
          <w:sz w:val="22"/>
          <w:szCs w:val="22"/>
          <w:u w:val="single"/>
        </w:rPr>
        <w:t>-Otto v. Otto</w:t>
      </w:r>
      <w:r w:rsidRPr="00C90430">
        <w:rPr>
          <w:rFonts w:ascii="Times New Roman" w:hAnsi="Times New Roman"/>
          <w:sz w:val="22"/>
          <w:szCs w:val="22"/>
        </w:rPr>
        <w:t>, par. 9 p. 8. Generally, the issue of residence for minor c</w:t>
      </w:r>
      <w:r w:rsidR="00A523B3">
        <w:rPr>
          <w:rFonts w:ascii="Times New Roman" w:hAnsi="Times New Roman"/>
          <w:sz w:val="22"/>
          <w:szCs w:val="22"/>
        </w:rPr>
        <w:t>hildren of divorced parents is “inexorably linked”</w:t>
      </w:r>
      <w:r w:rsidRPr="00C90430">
        <w:rPr>
          <w:rFonts w:ascii="Times New Roman" w:hAnsi="Times New Roman"/>
          <w:sz w:val="22"/>
          <w:szCs w:val="22"/>
        </w:rPr>
        <w:t xml:space="preserve"> to custody provided in the divorce decree. </w:t>
      </w:r>
      <w:r w:rsidRPr="00A523B3">
        <w:rPr>
          <w:rFonts w:ascii="Times New Roman" w:hAnsi="Times New Roman"/>
          <w:sz w:val="22"/>
          <w:szCs w:val="22"/>
          <w:u w:val="single"/>
        </w:rPr>
        <w:t>Ross</w:t>
      </w:r>
      <w:r w:rsidRPr="00C90430">
        <w:rPr>
          <w:rFonts w:ascii="Times New Roman" w:hAnsi="Times New Roman"/>
          <w:sz w:val="22"/>
          <w:szCs w:val="22"/>
        </w:rPr>
        <w:t xml:space="preserve">, p. 359. It is possible in joint custody situations for children to be members of both parents' households for insurance purposes. </w:t>
      </w:r>
      <w:proofErr w:type="spellStart"/>
      <w:r w:rsidRPr="00A523B3">
        <w:rPr>
          <w:rFonts w:ascii="Times New Roman" w:hAnsi="Times New Roman"/>
          <w:sz w:val="22"/>
          <w:szCs w:val="22"/>
          <w:u w:val="single"/>
        </w:rPr>
        <w:t>Londre</w:t>
      </w:r>
      <w:proofErr w:type="spellEnd"/>
      <w:r w:rsidRPr="00C90430">
        <w:rPr>
          <w:rFonts w:ascii="Times New Roman" w:hAnsi="Times New Roman"/>
          <w:sz w:val="22"/>
          <w:szCs w:val="22"/>
        </w:rPr>
        <w:t xml:space="preserve">, </w:t>
      </w:r>
      <w:r w:rsidRPr="00A523B3">
        <w:rPr>
          <w:rFonts w:ascii="Times New Roman" w:hAnsi="Times New Roman"/>
          <w:sz w:val="22"/>
          <w:szCs w:val="22"/>
          <w:u w:val="single"/>
        </w:rPr>
        <w:t>supra</w:t>
      </w:r>
      <w:r w:rsidRPr="00C90430">
        <w:rPr>
          <w:rFonts w:ascii="Times New Roman" w:hAnsi="Times New Roman"/>
          <w:sz w:val="22"/>
          <w:szCs w:val="22"/>
        </w:rPr>
        <w:t>, p. 59.</w:t>
      </w:r>
    </w:p>
    <w:p w14:paraId="74C79892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2834FFEB" w14:textId="77777777" w:rsidR="00460F7B" w:rsidRDefault="00C90430" w:rsidP="00A523B3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DF437D">
        <w:rPr>
          <w:rFonts w:ascii="Times New Roman" w:hAnsi="Times New Roman"/>
          <w:b/>
          <w:sz w:val="22"/>
          <w:szCs w:val="22"/>
        </w:rPr>
        <w:lastRenderedPageBreak/>
        <w:t>Divorce</w:t>
      </w:r>
      <w:r w:rsidRPr="00DF437D">
        <w:rPr>
          <w:rFonts w:ascii="Times New Roman" w:hAnsi="Times New Roman"/>
          <w:sz w:val="22"/>
          <w:szCs w:val="22"/>
        </w:rPr>
        <w:t xml:space="preserve">. As a matter of public policy, removal from a household following commencement of divorce proceedings and during the pendency of the action is not a factor to be given weight in determining residency in a family household. Language to the contrary in the </w:t>
      </w:r>
      <w:proofErr w:type="spellStart"/>
      <w:r w:rsidRPr="00DF437D">
        <w:rPr>
          <w:rFonts w:ascii="Times New Roman" w:hAnsi="Times New Roman"/>
          <w:sz w:val="22"/>
          <w:szCs w:val="22"/>
          <w:u w:val="single"/>
        </w:rPr>
        <w:t>Doern</w:t>
      </w:r>
      <w:proofErr w:type="spellEnd"/>
      <w:r w:rsidRPr="00DF437D">
        <w:rPr>
          <w:rFonts w:ascii="Times New Roman" w:hAnsi="Times New Roman"/>
          <w:sz w:val="22"/>
          <w:szCs w:val="22"/>
        </w:rPr>
        <w:t xml:space="preserve"> case is withdrawn. </w:t>
      </w:r>
      <w:r w:rsidRPr="00DF437D">
        <w:rPr>
          <w:rFonts w:ascii="Times New Roman" w:hAnsi="Times New Roman"/>
          <w:sz w:val="22"/>
          <w:szCs w:val="22"/>
          <w:u w:val="single"/>
        </w:rPr>
        <w:t xml:space="preserve">Belling v. </w:t>
      </w:r>
      <w:proofErr w:type="spellStart"/>
      <w:r w:rsidRPr="00DF437D">
        <w:rPr>
          <w:rFonts w:ascii="Times New Roman" w:hAnsi="Times New Roman"/>
          <w:sz w:val="22"/>
          <w:szCs w:val="22"/>
          <w:u w:val="single"/>
        </w:rPr>
        <w:t>Harn</w:t>
      </w:r>
      <w:proofErr w:type="spellEnd"/>
      <w:r w:rsidRPr="00DF437D">
        <w:rPr>
          <w:rFonts w:ascii="Times New Roman" w:hAnsi="Times New Roman"/>
          <w:sz w:val="22"/>
          <w:szCs w:val="22"/>
        </w:rPr>
        <w:t xml:space="preserve">, 65 Wis.2d 108, 115-116, 221 N.W.2d 888 (1974). However, this modification of </w:t>
      </w:r>
      <w:proofErr w:type="spellStart"/>
      <w:r w:rsidRPr="00DF437D">
        <w:rPr>
          <w:rFonts w:ascii="Times New Roman" w:hAnsi="Times New Roman"/>
          <w:sz w:val="22"/>
          <w:szCs w:val="22"/>
          <w:u w:val="single"/>
        </w:rPr>
        <w:t>Doern</w:t>
      </w:r>
      <w:proofErr w:type="spellEnd"/>
      <w:r w:rsidRPr="00DF437D">
        <w:rPr>
          <w:rFonts w:ascii="Times New Roman" w:hAnsi="Times New Roman"/>
          <w:sz w:val="22"/>
          <w:szCs w:val="22"/>
        </w:rPr>
        <w:t xml:space="preserve"> appears to be limited to divorce proceedings. </w:t>
      </w:r>
      <w:proofErr w:type="spellStart"/>
      <w:r w:rsidRPr="00DF437D">
        <w:rPr>
          <w:rFonts w:ascii="Times New Roman" w:hAnsi="Times New Roman"/>
          <w:sz w:val="22"/>
          <w:szCs w:val="22"/>
          <w:u w:val="single"/>
        </w:rPr>
        <w:t>Seichter</w:t>
      </w:r>
      <w:proofErr w:type="spellEnd"/>
      <w:r w:rsidRPr="00DF437D">
        <w:rPr>
          <w:rFonts w:ascii="Times New Roman" w:hAnsi="Times New Roman"/>
          <w:sz w:val="22"/>
          <w:szCs w:val="22"/>
        </w:rPr>
        <w:t>, p. 843, fn. 1.</w:t>
      </w:r>
      <w:r w:rsidR="000B3539">
        <w:rPr>
          <w:rFonts w:ascii="Times New Roman" w:hAnsi="Times New Roman"/>
          <w:sz w:val="22"/>
          <w:szCs w:val="22"/>
        </w:rPr>
        <w:t xml:space="preserve"> </w:t>
      </w:r>
    </w:p>
    <w:p w14:paraId="144A9CFC" w14:textId="77777777" w:rsidR="00460F7B" w:rsidRDefault="00460F7B" w:rsidP="00A523B3">
      <w:pPr>
        <w:ind w:firstLine="450"/>
        <w:jc w:val="both"/>
        <w:rPr>
          <w:rFonts w:ascii="Times New Roman" w:hAnsi="Times New Roman"/>
          <w:sz w:val="22"/>
          <w:szCs w:val="22"/>
        </w:rPr>
      </w:pPr>
    </w:p>
    <w:p w14:paraId="0D753562" w14:textId="31ECB692" w:rsidR="000B3539" w:rsidRPr="00FF04E5" w:rsidRDefault="00460F7B" w:rsidP="00210EE5">
      <w:pPr>
        <w:ind w:firstLine="450"/>
        <w:jc w:val="both"/>
        <w:rPr>
          <w:rFonts w:ascii="Times New Roman" w:eastAsiaTheme="minorHAnsi" w:hAnsi="Times New Roman"/>
          <w:sz w:val="22"/>
          <w:szCs w:val="22"/>
        </w:rPr>
      </w:pPr>
      <w:r w:rsidRPr="00FF04E5">
        <w:rPr>
          <w:rFonts w:ascii="Times New Roman" w:hAnsi="Times New Roman"/>
          <w:b/>
          <w:sz w:val="22"/>
          <w:szCs w:val="22"/>
        </w:rPr>
        <w:t>Legal separation.</w:t>
      </w:r>
      <w:r w:rsidRPr="00FF04E5">
        <w:rPr>
          <w:rFonts w:ascii="Times New Roman" w:hAnsi="Times New Roman"/>
          <w:sz w:val="22"/>
          <w:szCs w:val="22"/>
        </w:rPr>
        <w:t xml:space="preserve"> Wisconsin law plainly distinguishes between a divorce and a legal separation. Pursuant to Wis. Stat. § 767.001(1f), “divorce” is defined </w:t>
      </w:r>
      <w:r w:rsidRPr="00FF04E5">
        <w:rPr>
          <w:rFonts w:ascii="Times New Roman" w:eastAsiaTheme="minorHAnsi" w:hAnsi="Times New Roman"/>
          <w:sz w:val="22"/>
          <w:szCs w:val="22"/>
        </w:rPr>
        <w:t xml:space="preserve">as “the dissolution of the marriage relationship.” In contrast, a judgment of legal separation does not terminate a marriage. As the Wisconsin Supreme Court has noted, “there are ... rights and obligations remaining in the marriage after a legal separation.” </w:t>
      </w:r>
      <w:r w:rsidR="00210EE5" w:rsidRPr="00FF04E5">
        <w:rPr>
          <w:rFonts w:ascii="Times New Roman" w:eastAsiaTheme="minorHAnsi" w:hAnsi="Times New Roman"/>
          <w:sz w:val="22"/>
          <w:szCs w:val="22"/>
          <w:u w:val="single"/>
        </w:rPr>
        <w:t xml:space="preserve">Kemper Independence Insurance Company v. </w:t>
      </w:r>
      <w:proofErr w:type="spellStart"/>
      <w:r w:rsidR="00210EE5" w:rsidRPr="00FF04E5">
        <w:rPr>
          <w:rFonts w:ascii="Times New Roman" w:eastAsiaTheme="minorHAnsi" w:hAnsi="Times New Roman"/>
          <w:sz w:val="22"/>
          <w:szCs w:val="22"/>
          <w:u w:val="single"/>
        </w:rPr>
        <w:t>Islami</w:t>
      </w:r>
      <w:proofErr w:type="spellEnd"/>
      <w:r w:rsidR="00210EE5" w:rsidRPr="00FF04E5">
        <w:rPr>
          <w:rFonts w:ascii="Times New Roman" w:eastAsiaTheme="minorHAnsi" w:hAnsi="Times New Roman"/>
          <w:sz w:val="22"/>
          <w:szCs w:val="22"/>
        </w:rPr>
        <w:t xml:space="preserve">, 2021 WI 53, ¶18, 397 Wis.2d 394, 959 N.W.2d 912, citing </w:t>
      </w:r>
      <w:proofErr w:type="spellStart"/>
      <w:r w:rsidRPr="00FF04E5">
        <w:rPr>
          <w:rFonts w:ascii="Times New Roman" w:eastAsiaTheme="minorHAnsi" w:hAnsi="Times New Roman"/>
          <w:sz w:val="22"/>
          <w:szCs w:val="22"/>
          <w:u w:val="single"/>
        </w:rPr>
        <w:t>Herbst</w:t>
      </w:r>
      <w:proofErr w:type="spellEnd"/>
      <w:r w:rsidRPr="00FF04E5">
        <w:rPr>
          <w:rFonts w:ascii="Times New Roman" w:eastAsiaTheme="minorHAnsi" w:hAnsi="Times New Roman"/>
          <w:sz w:val="22"/>
          <w:szCs w:val="22"/>
          <w:u w:val="single"/>
        </w:rPr>
        <w:t xml:space="preserve"> v. Hansen</w:t>
      </w:r>
      <w:r w:rsidRPr="00FF04E5">
        <w:rPr>
          <w:rFonts w:ascii="Times New Roman" w:eastAsiaTheme="minorHAnsi" w:hAnsi="Times New Roman"/>
          <w:sz w:val="22"/>
          <w:szCs w:val="22"/>
        </w:rPr>
        <w:t>, 46 Wis. 2d 697, 706, 176N.W.2d 380 (1970).</w:t>
      </w:r>
      <w:r w:rsidR="00210EE5" w:rsidRPr="00FF04E5">
        <w:rPr>
          <w:rFonts w:ascii="Times New Roman" w:eastAsiaTheme="minorHAnsi" w:hAnsi="Times New Roman"/>
          <w:sz w:val="22"/>
          <w:szCs w:val="22"/>
        </w:rPr>
        <w:t xml:space="preserve"> </w:t>
      </w:r>
      <w:r w:rsidRPr="00FF04E5">
        <w:rPr>
          <w:rFonts w:ascii="Times New Roman" w:hAnsi="Times New Roman"/>
          <w:sz w:val="22"/>
          <w:szCs w:val="22"/>
        </w:rPr>
        <w:t>A l</w:t>
      </w:r>
      <w:r w:rsidR="000B3539" w:rsidRPr="00FF04E5">
        <w:rPr>
          <w:rFonts w:ascii="Times New Roman" w:hAnsi="Times New Roman"/>
          <w:sz w:val="22"/>
          <w:szCs w:val="22"/>
        </w:rPr>
        <w:t>egal separation does not</w:t>
      </w:r>
      <w:r w:rsidR="00210EE5" w:rsidRPr="00FF04E5">
        <w:rPr>
          <w:rFonts w:ascii="Times New Roman" w:hAnsi="Times New Roman"/>
          <w:sz w:val="22"/>
          <w:szCs w:val="22"/>
        </w:rPr>
        <w:t xml:space="preserve"> alter</w:t>
      </w:r>
      <w:r w:rsidR="000B3539" w:rsidRPr="00FF04E5">
        <w:rPr>
          <w:rFonts w:ascii="Times New Roman" w:hAnsi="Times New Roman"/>
          <w:sz w:val="22"/>
          <w:szCs w:val="22"/>
        </w:rPr>
        <w:t xml:space="preserve"> the status of two individuals as spouses under the law</w:t>
      </w:r>
      <w:r w:rsidR="00FF04E5" w:rsidRPr="00FF04E5">
        <w:rPr>
          <w:rFonts w:ascii="Times New Roman" w:hAnsi="Times New Roman"/>
          <w:sz w:val="22"/>
          <w:szCs w:val="22"/>
        </w:rPr>
        <w:t>,</w:t>
      </w:r>
      <w:r w:rsidR="000B3539" w:rsidRPr="00FF04E5">
        <w:rPr>
          <w:rFonts w:ascii="Times New Roman" w:hAnsi="Times New Roman"/>
          <w:sz w:val="22"/>
          <w:szCs w:val="22"/>
        </w:rPr>
        <w:t xml:space="preserve"> and therefore </w:t>
      </w:r>
      <w:r w:rsidR="00210EE5" w:rsidRPr="00FF04E5">
        <w:rPr>
          <w:rFonts w:ascii="Times New Roman" w:hAnsi="Times New Roman"/>
          <w:sz w:val="22"/>
          <w:szCs w:val="22"/>
        </w:rPr>
        <w:t>a named insured’</w:t>
      </w:r>
      <w:r w:rsidR="000B3539" w:rsidRPr="00FF04E5">
        <w:rPr>
          <w:rFonts w:ascii="Times New Roman" w:hAnsi="Times New Roman"/>
          <w:sz w:val="22"/>
          <w:szCs w:val="22"/>
        </w:rPr>
        <w:t xml:space="preserve">s spouse remains covered under a policy. </w:t>
      </w:r>
      <w:r w:rsidR="00210EE5" w:rsidRPr="00FF04E5">
        <w:rPr>
          <w:rFonts w:ascii="Times New Roman" w:eastAsiaTheme="minorHAnsi" w:hAnsi="Times New Roman"/>
          <w:sz w:val="22"/>
          <w:szCs w:val="22"/>
          <w:u w:val="single"/>
        </w:rPr>
        <w:t>Kemper</w:t>
      </w:r>
      <w:r w:rsidR="00210EE5" w:rsidRPr="00FF04E5">
        <w:rPr>
          <w:rFonts w:ascii="Times New Roman" w:eastAsiaTheme="minorHAnsi" w:hAnsi="Times New Roman"/>
          <w:sz w:val="22"/>
          <w:szCs w:val="22"/>
        </w:rPr>
        <w:t xml:space="preserve">, </w:t>
      </w:r>
      <w:r w:rsidR="00210EE5" w:rsidRPr="009B4FD3">
        <w:rPr>
          <w:rFonts w:ascii="Times New Roman" w:eastAsiaTheme="minorHAnsi" w:hAnsi="Times New Roman"/>
          <w:sz w:val="22"/>
          <w:szCs w:val="22"/>
          <w:u w:val="single"/>
        </w:rPr>
        <w:t>supra</w:t>
      </w:r>
      <w:r w:rsidR="00210EE5" w:rsidRPr="00FF04E5">
        <w:rPr>
          <w:rFonts w:ascii="Times New Roman" w:eastAsiaTheme="minorHAnsi" w:hAnsi="Times New Roman"/>
          <w:sz w:val="22"/>
          <w:szCs w:val="22"/>
        </w:rPr>
        <w:t xml:space="preserve">, at </w:t>
      </w:r>
      <w:r w:rsidR="000B3539" w:rsidRPr="00FF04E5">
        <w:rPr>
          <w:rFonts w:ascii="Times New Roman" w:eastAsiaTheme="minorHAnsi" w:hAnsi="Times New Roman"/>
          <w:sz w:val="22"/>
          <w:szCs w:val="22"/>
        </w:rPr>
        <w:t>¶18.</w:t>
      </w:r>
      <w:r w:rsidR="00210EE5" w:rsidRPr="00FF04E5">
        <w:rPr>
          <w:rFonts w:ascii="Times New Roman" w:eastAsiaTheme="minorHAnsi" w:hAnsi="Times New Roman"/>
          <w:sz w:val="22"/>
          <w:szCs w:val="22"/>
        </w:rPr>
        <w:t xml:space="preserve"> The fact that a named insured and their spouse may commence living separate and apart while legal separation is pending “is not a </w:t>
      </w:r>
      <w:r w:rsidR="000B3539" w:rsidRPr="00FF04E5">
        <w:rPr>
          <w:rFonts w:ascii="Times New Roman" w:hAnsi="Times New Roman"/>
          <w:sz w:val="22"/>
          <w:szCs w:val="22"/>
          <w:shd w:val="clear" w:color="auto" w:fill="FFFFFF"/>
        </w:rPr>
        <w:t>factor to be given weight in determining whether or not such spouses are members of the same household.</w:t>
      </w:r>
      <w:r w:rsidR="00210EE5" w:rsidRPr="00FF04E5">
        <w:rPr>
          <w:rFonts w:ascii="Times New Roman" w:hAnsi="Times New Roman"/>
          <w:sz w:val="22"/>
          <w:szCs w:val="22"/>
          <w:shd w:val="clear" w:color="auto" w:fill="FFFFFF"/>
        </w:rPr>
        <w:t>”</w:t>
      </w:r>
      <w:r w:rsidR="000B3539" w:rsidRPr="00FF04E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210EE5" w:rsidRPr="00FF04E5">
        <w:rPr>
          <w:rFonts w:ascii="Times New Roman" w:hAnsi="Times New Roman"/>
          <w:sz w:val="22"/>
          <w:szCs w:val="22"/>
          <w:u w:val="single"/>
        </w:rPr>
        <w:t>Belling</w:t>
      </w:r>
      <w:r w:rsidR="000B3539" w:rsidRPr="00FF04E5">
        <w:rPr>
          <w:rFonts w:ascii="Times New Roman" w:hAnsi="Times New Roman"/>
          <w:sz w:val="22"/>
          <w:szCs w:val="22"/>
        </w:rPr>
        <w:t xml:space="preserve">, </w:t>
      </w:r>
      <w:r w:rsidR="00210EE5" w:rsidRPr="00FF04E5">
        <w:rPr>
          <w:rFonts w:ascii="Times New Roman" w:hAnsi="Times New Roman"/>
          <w:sz w:val="22"/>
          <w:szCs w:val="22"/>
          <w:u w:val="single"/>
        </w:rPr>
        <w:t>supra</w:t>
      </w:r>
      <w:r w:rsidR="00210EE5" w:rsidRPr="00FF04E5">
        <w:rPr>
          <w:rFonts w:ascii="Times New Roman" w:hAnsi="Times New Roman"/>
          <w:sz w:val="22"/>
          <w:szCs w:val="22"/>
        </w:rPr>
        <w:t xml:space="preserve">, </w:t>
      </w:r>
      <w:r w:rsidR="000B3539" w:rsidRPr="00FF04E5">
        <w:rPr>
          <w:rFonts w:ascii="Times New Roman" w:hAnsi="Times New Roman"/>
          <w:sz w:val="22"/>
          <w:szCs w:val="22"/>
        </w:rPr>
        <w:t>at 118.</w:t>
      </w:r>
    </w:p>
    <w:p w14:paraId="648DAF2A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2A85D1CD" w14:textId="77777777" w:rsidR="00C90430" w:rsidRPr="00C90430" w:rsidRDefault="00C90430" w:rsidP="00A523B3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A523B3">
        <w:rPr>
          <w:rFonts w:ascii="Times New Roman" w:hAnsi="Times New Roman"/>
          <w:b/>
          <w:sz w:val="22"/>
          <w:szCs w:val="22"/>
        </w:rPr>
        <w:t>Intent</w:t>
      </w:r>
      <w:r w:rsidRPr="00C90430">
        <w:rPr>
          <w:rFonts w:ascii="Times New Roman" w:hAnsi="Times New Roman"/>
          <w:sz w:val="22"/>
          <w:szCs w:val="22"/>
        </w:rPr>
        <w:t xml:space="preserve">. While </w:t>
      </w:r>
      <w:proofErr w:type="spellStart"/>
      <w:r w:rsidRPr="00A523B3">
        <w:rPr>
          <w:rFonts w:ascii="Times New Roman" w:hAnsi="Times New Roman"/>
          <w:sz w:val="22"/>
          <w:szCs w:val="22"/>
          <w:u w:val="single"/>
        </w:rPr>
        <w:t>Pamperin</w:t>
      </w:r>
      <w:proofErr w:type="spellEnd"/>
      <w:r w:rsidRPr="00C90430">
        <w:rPr>
          <w:rFonts w:ascii="Times New Roman" w:hAnsi="Times New Roman"/>
          <w:sz w:val="22"/>
          <w:szCs w:val="22"/>
        </w:rPr>
        <w:t xml:space="preserve">, pp. 35, 37, </w:t>
      </w:r>
      <w:proofErr w:type="spellStart"/>
      <w:r w:rsidRPr="00A523B3">
        <w:rPr>
          <w:rFonts w:ascii="Times New Roman" w:hAnsi="Times New Roman"/>
          <w:sz w:val="22"/>
          <w:szCs w:val="22"/>
          <w:u w:val="single"/>
        </w:rPr>
        <w:t>Seichter</w:t>
      </w:r>
      <w:proofErr w:type="spellEnd"/>
      <w:r w:rsidRPr="00C90430">
        <w:rPr>
          <w:rFonts w:ascii="Times New Roman" w:hAnsi="Times New Roman"/>
          <w:sz w:val="22"/>
          <w:szCs w:val="22"/>
        </w:rPr>
        <w:t xml:space="preserve">, pp. 843-844, and other cases hold that no one element is controlling on the question of household membership, and an individual's subjective or declared intent, while a fact to be considered, is also not controlling, the Court of Appeals in </w:t>
      </w:r>
      <w:proofErr w:type="spellStart"/>
      <w:r w:rsidRPr="00A523B3">
        <w:rPr>
          <w:rFonts w:ascii="Times New Roman" w:hAnsi="Times New Roman"/>
          <w:sz w:val="22"/>
          <w:szCs w:val="22"/>
          <w:u w:val="single"/>
        </w:rPr>
        <w:t>Muskevitsch</w:t>
      </w:r>
      <w:proofErr w:type="spellEnd"/>
      <w:r w:rsidRPr="00A523B3">
        <w:rPr>
          <w:rFonts w:ascii="Times New Roman" w:hAnsi="Times New Roman"/>
          <w:sz w:val="22"/>
          <w:szCs w:val="22"/>
          <w:u w:val="single"/>
        </w:rPr>
        <w:t>-Otto v. Otto</w:t>
      </w:r>
      <w:r w:rsidRPr="00C90430">
        <w:rPr>
          <w:rFonts w:ascii="Times New Roman" w:hAnsi="Times New Roman"/>
          <w:sz w:val="22"/>
          <w:szCs w:val="22"/>
        </w:rPr>
        <w:t xml:space="preserve"> </w:t>
      </w:r>
      <w:r w:rsidRPr="00A523B3">
        <w:rPr>
          <w:rFonts w:ascii="Times New Roman" w:hAnsi="Times New Roman"/>
          <w:sz w:val="22"/>
          <w:szCs w:val="22"/>
          <w:u w:val="single"/>
        </w:rPr>
        <w:t>supra</w:t>
      </w:r>
      <w:r w:rsidRPr="00C90430">
        <w:rPr>
          <w:rFonts w:ascii="Times New Roman" w:hAnsi="Times New Roman"/>
          <w:sz w:val="22"/>
          <w:szCs w:val="22"/>
        </w:rPr>
        <w:t>, approved an</w:t>
      </w:r>
      <w:r w:rsidR="00A523B3">
        <w:rPr>
          <w:rFonts w:ascii="Times New Roman" w:hAnsi="Times New Roman"/>
          <w:sz w:val="22"/>
          <w:szCs w:val="22"/>
        </w:rPr>
        <w:t xml:space="preserve"> instruction which made intent “the key element.” The instruction provided that “</w:t>
      </w:r>
      <w:r w:rsidRPr="00C90430">
        <w:rPr>
          <w:rFonts w:ascii="Times New Roman" w:hAnsi="Times New Roman"/>
          <w:sz w:val="22"/>
          <w:szCs w:val="22"/>
        </w:rPr>
        <w:t>In deciding whether a person is a resident of a particular household, the key element is the intent of that person to be a resident of the household in question and to l</w:t>
      </w:r>
      <w:r w:rsidR="00A523B3">
        <w:rPr>
          <w:rFonts w:ascii="Times New Roman" w:hAnsi="Times New Roman"/>
          <w:sz w:val="22"/>
          <w:szCs w:val="22"/>
        </w:rPr>
        <w:t>ive under the same roof . . . .”</w:t>
      </w:r>
      <w:r w:rsidRPr="00C90430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C90430">
        <w:rPr>
          <w:rFonts w:ascii="Times New Roman" w:hAnsi="Times New Roman"/>
          <w:sz w:val="22"/>
          <w:szCs w:val="22"/>
        </w:rPr>
        <w:t>emphasis</w:t>
      </w:r>
      <w:proofErr w:type="gramEnd"/>
      <w:r w:rsidRPr="00C90430">
        <w:rPr>
          <w:rFonts w:ascii="Times New Roman" w:hAnsi="Times New Roman"/>
          <w:sz w:val="22"/>
          <w:szCs w:val="22"/>
        </w:rPr>
        <w:t xml:space="preserve"> supplied). In harmonizing these decisions, the Committee believes that because of the fact-driven nature of these cases, intent might assume more importance in a particular situation. However, none of the </w:t>
      </w:r>
      <w:proofErr w:type="spellStart"/>
      <w:r w:rsidRPr="00A523B3">
        <w:rPr>
          <w:rFonts w:ascii="Times New Roman" w:hAnsi="Times New Roman"/>
          <w:sz w:val="22"/>
          <w:szCs w:val="22"/>
          <w:u w:val="single"/>
        </w:rPr>
        <w:t>Pamperin</w:t>
      </w:r>
      <w:proofErr w:type="spellEnd"/>
      <w:r w:rsidRPr="00C90430">
        <w:rPr>
          <w:rFonts w:ascii="Times New Roman" w:hAnsi="Times New Roman"/>
          <w:sz w:val="22"/>
          <w:szCs w:val="22"/>
        </w:rPr>
        <w:t xml:space="preserve"> elements (including intent) predominates as a matter of law. Until further guidance on this issue </w:t>
      </w:r>
      <w:proofErr w:type="gramStart"/>
      <w:r w:rsidRPr="00C90430">
        <w:rPr>
          <w:rFonts w:ascii="Times New Roman" w:hAnsi="Times New Roman"/>
          <w:sz w:val="22"/>
          <w:szCs w:val="22"/>
        </w:rPr>
        <w:t>is received</w:t>
      </w:r>
      <w:proofErr w:type="gramEnd"/>
      <w:r w:rsidRPr="00C90430">
        <w:rPr>
          <w:rFonts w:ascii="Times New Roman" w:hAnsi="Times New Roman"/>
          <w:sz w:val="22"/>
          <w:szCs w:val="22"/>
        </w:rPr>
        <w:t xml:space="preserve"> from the appellate courts, the Committee believes the more prudent course is to follow </w:t>
      </w:r>
      <w:proofErr w:type="spellStart"/>
      <w:r w:rsidRPr="00A523B3">
        <w:rPr>
          <w:rFonts w:ascii="Times New Roman" w:hAnsi="Times New Roman"/>
          <w:sz w:val="22"/>
          <w:szCs w:val="22"/>
          <w:u w:val="single"/>
        </w:rPr>
        <w:t>Pamperin</w:t>
      </w:r>
      <w:proofErr w:type="spellEnd"/>
      <w:r w:rsidRPr="00C90430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A523B3">
        <w:rPr>
          <w:rFonts w:ascii="Times New Roman" w:hAnsi="Times New Roman"/>
          <w:sz w:val="22"/>
          <w:szCs w:val="22"/>
          <w:u w:val="single"/>
        </w:rPr>
        <w:t>Seichter</w:t>
      </w:r>
      <w:proofErr w:type="spellEnd"/>
      <w:r w:rsidRPr="00C90430">
        <w:rPr>
          <w:rFonts w:ascii="Times New Roman" w:hAnsi="Times New Roman"/>
          <w:sz w:val="22"/>
          <w:szCs w:val="22"/>
        </w:rPr>
        <w:t>.</w:t>
      </w:r>
    </w:p>
    <w:p w14:paraId="6ACE5C65" w14:textId="77777777" w:rsidR="00C90430" w:rsidRPr="00C90430" w:rsidRDefault="00C90430" w:rsidP="00C90430">
      <w:pPr>
        <w:jc w:val="both"/>
        <w:rPr>
          <w:rFonts w:ascii="Times New Roman" w:hAnsi="Times New Roman"/>
          <w:sz w:val="22"/>
          <w:szCs w:val="22"/>
        </w:rPr>
      </w:pPr>
    </w:p>
    <w:p w14:paraId="09BB6E01" w14:textId="77777777" w:rsidR="00C90430" w:rsidRDefault="00AA6A2B" w:rsidP="00AA6A2B">
      <w:pPr>
        <w:ind w:firstLine="450"/>
        <w:jc w:val="both"/>
        <w:rPr>
          <w:rFonts w:ascii="Times New Roman" w:hAnsi="Times New Roman"/>
          <w:sz w:val="22"/>
          <w:szCs w:val="22"/>
        </w:rPr>
      </w:pPr>
      <w:r w:rsidRPr="00AA6A2B">
        <w:rPr>
          <w:rFonts w:ascii="Times New Roman" w:hAnsi="Times New Roman"/>
          <w:b/>
          <w:sz w:val="22"/>
          <w:szCs w:val="22"/>
        </w:rPr>
        <w:t>“In Your Care”</w:t>
      </w:r>
      <w:r w:rsidR="00C90430" w:rsidRPr="00AA6A2B">
        <w:rPr>
          <w:rFonts w:ascii="Times New Roman" w:hAnsi="Times New Roman"/>
          <w:b/>
          <w:sz w:val="22"/>
          <w:szCs w:val="22"/>
        </w:rPr>
        <w:t xml:space="preserve"> Policy Language</w:t>
      </w:r>
      <w:r w:rsidR="00C90430" w:rsidRPr="00C90430">
        <w:rPr>
          <w:rFonts w:ascii="Times New Roman" w:hAnsi="Times New Roman"/>
          <w:sz w:val="22"/>
          <w:szCs w:val="22"/>
        </w:rPr>
        <w:t xml:space="preserve">. For cases involving policy </w:t>
      </w:r>
      <w:r>
        <w:rPr>
          <w:rFonts w:ascii="Times New Roman" w:hAnsi="Times New Roman"/>
          <w:sz w:val="22"/>
          <w:szCs w:val="22"/>
        </w:rPr>
        <w:t>language dealing with the term “in your care,”</w:t>
      </w:r>
      <w:r w:rsidR="00C90430" w:rsidRPr="00C90430">
        <w:rPr>
          <w:rFonts w:ascii="Times New Roman" w:hAnsi="Times New Roman"/>
          <w:sz w:val="22"/>
          <w:szCs w:val="22"/>
        </w:rPr>
        <w:t xml:space="preserve"> see also, </w:t>
      </w:r>
      <w:proofErr w:type="spellStart"/>
      <w:r w:rsidR="00C90430" w:rsidRPr="00AA6A2B">
        <w:rPr>
          <w:rFonts w:ascii="Times New Roman" w:hAnsi="Times New Roman"/>
          <w:sz w:val="22"/>
          <w:szCs w:val="22"/>
          <w:u w:val="single"/>
        </w:rPr>
        <w:t>Cierzan</w:t>
      </w:r>
      <w:proofErr w:type="spellEnd"/>
      <w:r w:rsidR="00C90430" w:rsidRPr="00AA6A2B">
        <w:rPr>
          <w:rFonts w:ascii="Times New Roman" w:hAnsi="Times New Roman"/>
          <w:sz w:val="22"/>
          <w:szCs w:val="22"/>
          <w:u w:val="single"/>
        </w:rPr>
        <w:t xml:space="preserve"> v. </w:t>
      </w:r>
      <w:proofErr w:type="spellStart"/>
      <w:r w:rsidR="00C90430" w:rsidRPr="00AA6A2B">
        <w:rPr>
          <w:rFonts w:ascii="Times New Roman" w:hAnsi="Times New Roman"/>
          <w:sz w:val="22"/>
          <w:szCs w:val="22"/>
          <w:u w:val="single"/>
        </w:rPr>
        <w:t>Kriegal</w:t>
      </w:r>
      <w:proofErr w:type="spellEnd"/>
      <w:r w:rsidR="00C90430" w:rsidRPr="00C90430">
        <w:rPr>
          <w:rFonts w:ascii="Times New Roman" w:hAnsi="Times New Roman"/>
          <w:sz w:val="22"/>
          <w:szCs w:val="22"/>
        </w:rPr>
        <w:t>, 2002 WI App 317, 259 Wis.2d 264, 655 N.W.2d 217. In this decision, the court of appeals listed the relevant considerations in determining whether a person is in the care of the insured.</w:t>
      </w:r>
    </w:p>
    <w:p w14:paraId="62D9FA29" w14:textId="34CBFE78" w:rsidR="000B3539" w:rsidRPr="000B3539" w:rsidRDefault="000B3539" w:rsidP="005A3322">
      <w:pPr>
        <w:widowControl/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sectPr w:rsidR="000B3539" w:rsidRPr="000B3539" w:rsidSect="000228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5BA6E" w14:textId="77777777" w:rsidR="00C90430" w:rsidRDefault="00C90430" w:rsidP="00C90430">
      <w:r>
        <w:separator/>
      </w:r>
    </w:p>
  </w:endnote>
  <w:endnote w:type="continuationSeparator" w:id="0">
    <w:p w14:paraId="0127AC49" w14:textId="77777777" w:rsidR="00C90430" w:rsidRDefault="00C90430" w:rsidP="00C9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C087" w14:textId="77777777" w:rsidR="00A145C0" w:rsidRDefault="00A145C0" w:rsidP="00AA6A2B">
    <w:pPr>
      <w:pStyle w:val="Footer"/>
      <w:jc w:val="both"/>
      <w:rPr>
        <w:rFonts w:ascii="Arial" w:hAnsi="Arial" w:cs="Arial"/>
        <w:sz w:val="20"/>
        <w:szCs w:val="20"/>
      </w:rPr>
    </w:pPr>
  </w:p>
  <w:p w14:paraId="0F0FC1F7" w14:textId="06533BD3" w:rsidR="00AA6A2B" w:rsidRPr="00126C02" w:rsidRDefault="00AA6A2B" w:rsidP="00AA6A2B">
    <w:pPr>
      <w:pStyle w:val="Footer"/>
      <w:jc w:val="both"/>
      <w:rPr>
        <w:rFonts w:ascii="Arial" w:hAnsi="Arial" w:cs="Arial"/>
        <w:sz w:val="20"/>
        <w:szCs w:val="20"/>
      </w:rPr>
    </w:pPr>
    <w:r w:rsidRPr="00126C02">
      <w:rPr>
        <w:rFonts w:ascii="Arial" w:hAnsi="Arial" w:cs="Arial"/>
        <w:sz w:val="20"/>
        <w:szCs w:val="20"/>
      </w:rPr>
      <w:t>Wisconsin</w:t>
    </w:r>
    <w:r w:rsidR="00B2604C" w:rsidRPr="00126C02">
      <w:rPr>
        <w:rFonts w:ascii="Arial" w:hAnsi="Arial" w:cs="Arial"/>
        <w:sz w:val="20"/>
        <w:szCs w:val="20"/>
      </w:rPr>
      <w:t xml:space="preserve"> Court</w:t>
    </w:r>
    <w:r w:rsidR="00126C02" w:rsidRPr="00126C02">
      <w:rPr>
        <w:rFonts w:ascii="Arial" w:hAnsi="Arial" w:cs="Arial"/>
        <w:sz w:val="20"/>
        <w:szCs w:val="20"/>
      </w:rPr>
      <w:t xml:space="preserve"> System, 2022</w:t>
    </w:r>
    <w:r w:rsidR="00126C02" w:rsidRPr="00126C02">
      <w:rPr>
        <w:rFonts w:ascii="Arial" w:hAnsi="Arial" w:cs="Arial"/>
        <w:sz w:val="20"/>
        <w:szCs w:val="20"/>
      </w:rPr>
      <w:tab/>
    </w:r>
    <w:r w:rsidR="00126C02" w:rsidRPr="00126C02">
      <w:rPr>
        <w:rFonts w:ascii="Arial" w:hAnsi="Arial" w:cs="Arial"/>
        <w:sz w:val="20"/>
        <w:szCs w:val="20"/>
      </w:rPr>
      <w:tab/>
      <w:t>(Release No. 53</w:t>
    </w:r>
    <w:r w:rsidRPr="00126C02">
      <w:rPr>
        <w:rFonts w:ascii="Arial" w:hAnsi="Arial" w:cs="Arial"/>
        <w:sz w:val="20"/>
        <w:szCs w:val="20"/>
      </w:rPr>
      <w:t>)</w:t>
    </w:r>
  </w:p>
  <w:p w14:paraId="6A90CAC3" w14:textId="3CF24462" w:rsidR="00AA6A2B" w:rsidRPr="00126C02" w:rsidRDefault="009B4FD3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309438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6A2B" w:rsidRPr="00126C02">
          <w:rPr>
            <w:rFonts w:ascii="Arial" w:hAnsi="Arial" w:cs="Arial"/>
            <w:sz w:val="20"/>
            <w:szCs w:val="20"/>
          </w:rPr>
          <w:fldChar w:fldCharType="begin"/>
        </w:r>
        <w:r w:rsidR="00AA6A2B" w:rsidRPr="00126C0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A6A2B" w:rsidRPr="00126C0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="00AA6A2B" w:rsidRPr="00126C02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4FBF9738" w14:textId="77777777" w:rsidR="00AA6A2B" w:rsidRDefault="00AA6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4969B" w14:textId="77777777" w:rsidR="00C90430" w:rsidRDefault="00C90430" w:rsidP="00C90430">
      <w:r>
        <w:separator/>
      </w:r>
    </w:p>
  </w:footnote>
  <w:footnote w:type="continuationSeparator" w:id="0">
    <w:p w14:paraId="3AD3BF32" w14:textId="77777777" w:rsidR="00C90430" w:rsidRDefault="00C90430" w:rsidP="00C9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06DA" w14:textId="77777777" w:rsidR="00C90430" w:rsidRPr="009B4FD3" w:rsidRDefault="00C90430" w:rsidP="00C90430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</w:p>
  <w:p w14:paraId="6D48DFD7" w14:textId="77777777" w:rsidR="00C90430" w:rsidRPr="009B4FD3" w:rsidRDefault="00C90430" w:rsidP="00C90430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 w:rsidRPr="009B4FD3">
      <w:rPr>
        <w:rFonts w:ascii="Arial" w:hAnsi="Arial" w:cs="Arial"/>
        <w:b/>
        <w:bCs/>
        <w:sz w:val="28"/>
        <w:szCs w:val="28"/>
      </w:rPr>
      <w:t>3110</w:t>
    </w:r>
    <w:r w:rsidRPr="009B4FD3">
      <w:rPr>
        <w:rFonts w:ascii="Arial" w:hAnsi="Arial" w:cs="Arial"/>
        <w:b/>
        <w:bCs/>
        <w:sz w:val="28"/>
        <w:szCs w:val="28"/>
      </w:rPr>
      <w:tab/>
      <w:t>WIS JI-CIVIL</w:t>
    </w:r>
    <w:r w:rsidRPr="009B4FD3">
      <w:rPr>
        <w:rFonts w:ascii="Arial" w:hAnsi="Arial" w:cs="Arial"/>
        <w:b/>
        <w:bCs/>
        <w:sz w:val="28"/>
        <w:szCs w:val="28"/>
      </w:rPr>
      <w:tab/>
      <w:t>3110</w:t>
    </w:r>
  </w:p>
  <w:p w14:paraId="636F65CA" w14:textId="568AA2F0" w:rsidR="00C90430" w:rsidRDefault="00C90430">
    <w:pPr>
      <w:pStyle w:val="Header"/>
      <w:rPr>
        <w:rFonts w:ascii="Arial" w:hAnsi="Arial" w:cs="Arial"/>
        <w:sz w:val="28"/>
        <w:szCs w:val="28"/>
      </w:rPr>
    </w:pPr>
  </w:p>
  <w:p w14:paraId="1F99B0B9" w14:textId="169B0C40" w:rsidR="009B4FD3" w:rsidRDefault="009B4FD3">
    <w:pPr>
      <w:pStyle w:val="Header"/>
      <w:rPr>
        <w:rFonts w:ascii="Arial" w:hAnsi="Arial" w:cs="Arial"/>
        <w:sz w:val="28"/>
        <w:szCs w:val="28"/>
      </w:rPr>
    </w:pPr>
  </w:p>
  <w:p w14:paraId="5531B09E" w14:textId="77777777" w:rsidR="009B4FD3" w:rsidRDefault="009B4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56A"/>
    <w:multiLevelType w:val="hybridMultilevel"/>
    <w:tmpl w:val="FF1ED9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30"/>
    <w:rsid w:val="00022894"/>
    <w:rsid w:val="00053CB4"/>
    <w:rsid w:val="0008024E"/>
    <w:rsid w:val="000B3539"/>
    <w:rsid w:val="000B4D26"/>
    <w:rsid w:val="00126C02"/>
    <w:rsid w:val="00210EE5"/>
    <w:rsid w:val="0026127B"/>
    <w:rsid w:val="00460F7B"/>
    <w:rsid w:val="00473CF2"/>
    <w:rsid w:val="005A3322"/>
    <w:rsid w:val="0083379A"/>
    <w:rsid w:val="008A4F07"/>
    <w:rsid w:val="008D350B"/>
    <w:rsid w:val="0096128B"/>
    <w:rsid w:val="009B4FD3"/>
    <w:rsid w:val="009E2B50"/>
    <w:rsid w:val="00A145C0"/>
    <w:rsid w:val="00A523B3"/>
    <w:rsid w:val="00AA6A2B"/>
    <w:rsid w:val="00B2604C"/>
    <w:rsid w:val="00C90430"/>
    <w:rsid w:val="00DF437D"/>
    <w:rsid w:val="00E41F14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E3B719"/>
  <w15:chartTrackingRefBased/>
  <w15:docId w15:val="{1C0D3F7D-88E4-435E-9DFC-6C85071F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3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3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0430"/>
  </w:style>
  <w:style w:type="paragraph" w:styleId="Footer">
    <w:name w:val="footer"/>
    <w:basedOn w:val="Normal"/>
    <w:link w:val="FooterChar"/>
    <w:uiPriority w:val="99"/>
    <w:unhideWhenUsed/>
    <w:rsid w:val="00C9043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0430"/>
  </w:style>
  <w:style w:type="paragraph" w:styleId="NoSpacing">
    <w:name w:val="No Spacing"/>
    <w:uiPriority w:val="1"/>
    <w:qFormat/>
    <w:rsid w:val="00C9043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customStyle="1" w:styleId="costarpage">
    <w:name w:val="co_starpage"/>
    <w:basedOn w:val="DefaultParagraphFont"/>
    <w:rsid w:val="009E2B50"/>
  </w:style>
  <w:style w:type="character" w:styleId="CommentReference">
    <w:name w:val="annotation reference"/>
    <w:basedOn w:val="DefaultParagraphFont"/>
    <w:uiPriority w:val="99"/>
    <w:semiHidden/>
    <w:unhideWhenUsed/>
    <w:rsid w:val="009E2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50"/>
    <w:rPr>
      <w:rFonts w:ascii="Constantia" w:eastAsia="Times New Roman" w:hAnsi="Constant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50"/>
    <w:rPr>
      <w:rFonts w:ascii="Constantia" w:eastAsia="Times New Roman" w:hAnsi="Constant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2B5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F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Pierson</dc:creator>
  <cp:keywords/>
  <dc:description/>
  <cp:lastModifiedBy>Bryce Pierson</cp:lastModifiedBy>
  <cp:revision>3</cp:revision>
  <dcterms:created xsi:type="dcterms:W3CDTF">2022-03-01T18:52:00Z</dcterms:created>
  <dcterms:modified xsi:type="dcterms:W3CDTF">2022-03-07T21:00:00Z</dcterms:modified>
</cp:coreProperties>
</file>