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BB9E61" w14:textId="56D971C1" w:rsidR="00297242" w:rsidRPr="000A791A" w:rsidRDefault="00297242" w:rsidP="00297242">
      <w:pPr>
        <w:pStyle w:val="NoSpacing"/>
        <w:jc w:val="both"/>
        <w:rPr>
          <w:rFonts w:ascii="Times New Roman" w:hAnsi="Times New Roman" w:cs="Times New Roman"/>
          <w:b/>
          <w:bCs/>
          <w:sz w:val="26"/>
          <w:szCs w:val="26"/>
        </w:rPr>
      </w:pPr>
      <w:r w:rsidRPr="000A791A">
        <w:rPr>
          <w:rFonts w:ascii="Times New Roman" w:hAnsi="Times New Roman" w:cs="Times New Roman"/>
          <w:b/>
          <w:bCs/>
          <w:sz w:val="26"/>
          <w:szCs w:val="26"/>
        </w:rPr>
        <w:t>3242</w:t>
      </w:r>
      <w:r w:rsidRPr="000A791A">
        <w:rPr>
          <w:rFonts w:ascii="Times New Roman" w:hAnsi="Times New Roman" w:cs="Times New Roman"/>
          <w:b/>
          <w:bCs/>
          <w:sz w:val="26"/>
          <w:szCs w:val="26"/>
        </w:rPr>
        <w:tab/>
        <w:t>NEGLIGENCE: DUTY OF MANUFACTURER (SUPPLIER) TO WARN</w:t>
      </w:r>
    </w:p>
    <w:p w14:paraId="1511F11C" w14:textId="730CBCC0" w:rsidR="000F456F" w:rsidRPr="000A791A" w:rsidRDefault="000F456F" w:rsidP="00297242">
      <w:pPr>
        <w:pStyle w:val="NoSpacing"/>
        <w:jc w:val="both"/>
        <w:rPr>
          <w:rFonts w:ascii="Times New Roman" w:hAnsi="Times New Roman" w:cs="Times New Roman"/>
          <w:sz w:val="26"/>
          <w:szCs w:val="26"/>
        </w:rPr>
      </w:pPr>
    </w:p>
    <w:p w14:paraId="62A0D246" w14:textId="77777777" w:rsidR="00297242" w:rsidRPr="000A791A" w:rsidRDefault="00297242" w:rsidP="00297242">
      <w:pPr>
        <w:pStyle w:val="NoSpacing"/>
        <w:jc w:val="both"/>
        <w:rPr>
          <w:rFonts w:ascii="Times New Roman" w:hAnsi="Times New Roman" w:cs="Times New Roman"/>
          <w:sz w:val="26"/>
          <w:szCs w:val="26"/>
        </w:rPr>
      </w:pPr>
    </w:p>
    <w:p w14:paraId="0778611A" w14:textId="7353E200" w:rsidR="00297242" w:rsidRPr="000A791A" w:rsidRDefault="00297242" w:rsidP="00297242">
      <w:pPr>
        <w:pStyle w:val="NoSpacing"/>
        <w:spacing w:line="480" w:lineRule="auto"/>
        <w:ind w:firstLine="450"/>
        <w:jc w:val="both"/>
        <w:rPr>
          <w:rFonts w:ascii="Times New Roman" w:hAnsi="Times New Roman" w:cs="Times New Roman"/>
          <w:sz w:val="26"/>
          <w:szCs w:val="26"/>
        </w:rPr>
      </w:pPr>
      <w:r w:rsidRPr="000A791A">
        <w:rPr>
          <w:rFonts w:ascii="Times New Roman" w:hAnsi="Times New Roman" w:cs="Times New Roman"/>
          <w:sz w:val="26"/>
          <w:szCs w:val="26"/>
        </w:rPr>
        <w:t>A manufacturer (supplier) of a product has a duty to exercise ordinary care to warn of dangers which he or she knows, or should know, are associated with the proper use of the product.</w:t>
      </w:r>
      <w:r w:rsidR="00BF36D0">
        <w:rPr>
          <w:rFonts w:ascii="Times New Roman" w:hAnsi="Times New Roman" w:cs="Times New Roman"/>
          <w:sz w:val="26"/>
          <w:szCs w:val="26"/>
        </w:rPr>
        <w:t xml:space="preserve"> </w:t>
      </w:r>
      <w:r w:rsidRPr="000A791A">
        <w:rPr>
          <w:rFonts w:ascii="Times New Roman" w:hAnsi="Times New Roman" w:cs="Times New Roman"/>
          <w:sz w:val="26"/>
          <w:szCs w:val="26"/>
        </w:rPr>
        <w:t xml:space="preserve">This duty exists whether or not the product was properly designed. “Proper use” means a use which is intended by the manufacturer (supplier). In addition, a manufacturer (supplier) has the duty to warn of dangers inherent in a use not intended by the manufacturer (supplier) if such unintended use is reasonably foreseeable by the manufacturer </w:t>
      </w:r>
      <w:bookmarkStart w:id="0" w:name="_Hlk235533240"/>
      <w:r w:rsidRPr="000A791A">
        <w:rPr>
          <w:rFonts w:ascii="Times New Roman" w:hAnsi="Times New Roman" w:cs="Times New Roman"/>
          <w:sz w:val="26"/>
          <w:szCs w:val="26"/>
        </w:rPr>
        <w:t>(supplier)</w:t>
      </w:r>
      <w:bookmarkEnd w:id="0"/>
      <w:r w:rsidRPr="000A791A">
        <w:rPr>
          <w:rFonts w:ascii="Times New Roman" w:hAnsi="Times New Roman" w:cs="Times New Roman"/>
          <w:sz w:val="26"/>
          <w:szCs w:val="26"/>
        </w:rPr>
        <w:t>.</w:t>
      </w:r>
    </w:p>
    <w:p w14:paraId="3031E2CF" w14:textId="74D4B699" w:rsidR="00297242" w:rsidRPr="000A791A" w:rsidRDefault="00297242" w:rsidP="00297242">
      <w:pPr>
        <w:pStyle w:val="NoSpacing"/>
        <w:spacing w:line="480" w:lineRule="auto"/>
        <w:ind w:firstLine="450"/>
        <w:jc w:val="both"/>
        <w:rPr>
          <w:rFonts w:ascii="Times New Roman" w:hAnsi="Times New Roman" w:cs="Times New Roman"/>
          <w:sz w:val="26"/>
          <w:szCs w:val="26"/>
        </w:rPr>
      </w:pPr>
      <w:r w:rsidRPr="000A791A">
        <w:rPr>
          <w:rFonts w:ascii="Times New Roman" w:hAnsi="Times New Roman" w:cs="Times New Roman"/>
          <w:sz w:val="26"/>
          <w:szCs w:val="26"/>
        </w:rPr>
        <w:t>However, a manufacturer (supplier) does not have a duty to warn about dangers that are known to the user, or are obvious to or readily discoverable by potential users, or are so commonly known that it can reasonably be assumed that users will be familiar with them.</w:t>
      </w:r>
      <w:r w:rsidR="00BF36D0">
        <w:rPr>
          <w:rFonts w:ascii="Times New Roman" w:hAnsi="Times New Roman" w:cs="Times New Roman"/>
          <w:sz w:val="26"/>
          <w:szCs w:val="26"/>
        </w:rPr>
        <w:t xml:space="preserve"> </w:t>
      </w:r>
      <w:r w:rsidRPr="000A791A">
        <w:rPr>
          <w:rFonts w:ascii="Times New Roman" w:hAnsi="Times New Roman" w:cs="Times New Roman"/>
          <w:sz w:val="26"/>
          <w:szCs w:val="26"/>
        </w:rPr>
        <w:t>Additionally, the manufacturer</w:t>
      </w:r>
      <w:r w:rsidR="00350D99">
        <w:rPr>
          <w:rFonts w:ascii="Times New Roman" w:hAnsi="Times New Roman" w:cs="Times New Roman"/>
          <w:sz w:val="26"/>
          <w:szCs w:val="26"/>
        </w:rPr>
        <w:t xml:space="preserve"> </w:t>
      </w:r>
      <w:r w:rsidR="00350D99" w:rsidRPr="000A791A">
        <w:rPr>
          <w:rFonts w:ascii="Times New Roman" w:hAnsi="Times New Roman" w:cs="Times New Roman"/>
          <w:sz w:val="26"/>
          <w:szCs w:val="26"/>
        </w:rPr>
        <w:t>(supplier)</w:t>
      </w:r>
      <w:r w:rsidR="00350D99">
        <w:rPr>
          <w:rFonts w:ascii="Times New Roman" w:hAnsi="Times New Roman" w:cs="Times New Roman"/>
          <w:sz w:val="26"/>
          <w:szCs w:val="26"/>
        </w:rPr>
        <w:t xml:space="preserve"> </w:t>
      </w:r>
      <w:r w:rsidRPr="000A791A">
        <w:rPr>
          <w:rFonts w:ascii="Times New Roman" w:hAnsi="Times New Roman" w:cs="Times New Roman"/>
          <w:sz w:val="26"/>
          <w:szCs w:val="26"/>
        </w:rPr>
        <w:t>does not have to warn about dangers associated with unforeseeable misuses of the product.</w:t>
      </w:r>
    </w:p>
    <w:p w14:paraId="04D6FA2B" w14:textId="173F0403" w:rsidR="00297242" w:rsidRPr="000A791A" w:rsidRDefault="00297242" w:rsidP="00297242">
      <w:pPr>
        <w:pStyle w:val="NoSpacing"/>
        <w:jc w:val="both"/>
        <w:rPr>
          <w:rFonts w:ascii="Times New Roman" w:hAnsi="Times New Roman" w:cs="Times New Roman"/>
          <w:sz w:val="26"/>
          <w:szCs w:val="26"/>
        </w:rPr>
      </w:pPr>
    </w:p>
    <w:p w14:paraId="6789A727" w14:textId="1002279B" w:rsidR="00297242" w:rsidRPr="000A791A" w:rsidRDefault="00297242" w:rsidP="00297242">
      <w:pPr>
        <w:pStyle w:val="NoSpacing"/>
        <w:jc w:val="both"/>
        <w:rPr>
          <w:rFonts w:ascii="Times New Roman" w:hAnsi="Times New Roman" w:cs="Times New Roman"/>
          <w:sz w:val="26"/>
          <w:szCs w:val="26"/>
        </w:rPr>
      </w:pPr>
    </w:p>
    <w:p w14:paraId="3DB6261F" w14:textId="348E52A0" w:rsidR="00297242" w:rsidRPr="000A791A" w:rsidRDefault="00297242" w:rsidP="00297242">
      <w:pPr>
        <w:pStyle w:val="NoSpacing"/>
        <w:jc w:val="both"/>
        <w:rPr>
          <w:rFonts w:ascii="Times New Roman" w:hAnsi="Times New Roman" w:cs="Times New Roman"/>
          <w:sz w:val="26"/>
          <w:szCs w:val="26"/>
        </w:rPr>
      </w:pPr>
    </w:p>
    <w:p w14:paraId="25DF6580" w14:textId="77777777" w:rsidR="00297242" w:rsidRPr="000A791A" w:rsidRDefault="00297242" w:rsidP="00297242">
      <w:pPr>
        <w:pStyle w:val="NoSpacing"/>
        <w:jc w:val="both"/>
        <w:rPr>
          <w:rFonts w:ascii="Times New Roman" w:hAnsi="Times New Roman" w:cs="Times New Roman"/>
          <w:sz w:val="26"/>
          <w:szCs w:val="26"/>
        </w:rPr>
      </w:pPr>
    </w:p>
    <w:p w14:paraId="4647E45D" w14:textId="77777777" w:rsidR="00297242" w:rsidRPr="000A791A" w:rsidRDefault="00297242" w:rsidP="00297242">
      <w:pPr>
        <w:pStyle w:val="NoSpacing"/>
        <w:jc w:val="both"/>
        <w:rPr>
          <w:rFonts w:ascii="Times New Roman" w:hAnsi="Times New Roman" w:cs="Times New Roman"/>
          <w:b/>
          <w:bCs/>
        </w:rPr>
      </w:pPr>
      <w:r w:rsidRPr="000A791A">
        <w:rPr>
          <w:rFonts w:ascii="Times New Roman" w:hAnsi="Times New Roman" w:cs="Times New Roman"/>
          <w:b/>
          <w:bCs/>
        </w:rPr>
        <w:t>COMMENT</w:t>
      </w:r>
    </w:p>
    <w:p w14:paraId="4F10AC16" w14:textId="77777777" w:rsidR="00297242" w:rsidRPr="000A791A" w:rsidRDefault="00297242" w:rsidP="00297242">
      <w:pPr>
        <w:pStyle w:val="NoSpacing"/>
        <w:jc w:val="both"/>
        <w:rPr>
          <w:rFonts w:ascii="Times New Roman" w:hAnsi="Times New Roman" w:cs="Times New Roman"/>
        </w:rPr>
      </w:pPr>
    </w:p>
    <w:p w14:paraId="7F248A90" w14:textId="45F6C5F2" w:rsidR="00950C91" w:rsidRPr="000A791A" w:rsidRDefault="00297242" w:rsidP="00950C91">
      <w:pPr>
        <w:pStyle w:val="NoSpacing"/>
        <w:ind w:firstLine="450"/>
        <w:jc w:val="both"/>
        <w:rPr>
          <w:rFonts w:ascii="Times New Roman" w:hAnsi="Times New Roman" w:cs="Times New Roman"/>
        </w:rPr>
      </w:pPr>
      <w:r w:rsidRPr="000A791A">
        <w:rPr>
          <w:rFonts w:ascii="Times New Roman" w:hAnsi="Times New Roman" w:cs="Times New Roman"/>
        </w:rPr>
        <w:t>This instruction and comment were revised by the Committee in 1982. The comment was updated in 2010 and 2020. The 2020 revision updated case law citations.</w:t>
      </w:r>
      <w:r w:rsidR="00950C91" w:rsidRPr="000A791A">
        <w:rPr>
          <w:rFonts w:ascii="Times New Roman" w:hAnsi="Times New Roman" w:cs="Times New Roman"/>
        </w:rPr>
        <w:t xml:space="preserve"> This revision was approved by the Committee in </w:t>
      </w:r>
      <w:r w:rsidR="00591458" w:rsidRPr="000A791A">
        <w:rPr>
          <w:rFonts w:ascii="Times New Roman" w:hAnsi="Times New Roman" w:cs="Times New Roman"/>
        </w:rPr>
        <w:t>May 2026</w:t>
      </w:r>
      <w:r w:rsidR="00950C91" w:rsidRPr="000A791A">
        <w:rPr>
          <w:rFonts w:ascii="Times New Roman" w:hAnsi="Times New Roman" w:cs="Times New Roman"/>
        </w:rPr>
        <w:t xml:space="preserve">. It updated the comment to add a discussion of </w:t>
      </w:r>
      <w:r w:rsidR="00950C91" w:rsidRPr="000A791A">
        <w:rPr>
          <w:rFonts w:ascii="Times New Roman" w:hAnsi="Times New Roman" w:cs="Times New Roman"/>
          <w:u w:val="single"/>
        </w:rPr>
        <w:t>Aker v. Good Sportsman Marketing, LLC</w:t>
      </w:r>
      <w:r w:rsidR="00950C91" w:rsidRPr="000A791A">
        <w:rPr>
          <w:rFonts w:ascii="Times New Roman" w:hAnsi="Times New Roman" w:cs="Times New Roman"/>
        </w:rPr>
        <w:t xml:space="preserve"> and the foreseeable misuse doctrine.</w:t>
      </w:r>
    </w:p>
    <w:p w14:paraId="0BB54466" w14:textId="77777777" w:rsidR="00297242" w:rsidRPr="000A791A" w:rsidRDefault="00297242" w:rsidP="00297242">
      <w:pPr>
        <w:pStyle w:val="NoSpacing"/>
        <w:jc w:val="both"/>
        <w:rPr>
          <w:rFonts w:ascii="Times New Roman" w:hAnsi="Times New Roman" w:cs="Times New Roman"/>
        </w:rPr>
      </w:pPr>
    </w:p>
    <w:p w14:paraId="440DC6DC" w14:textId="5D79F1FB" w:rsidR="00297242" w:rsidRPr="000A791A" w:rsidRDefault="00297242" w:rsidP="00297242">
      <w:pPr>
        <w:pStyle w:val="NoSpacing"/>
        <w:ind w:firstLine="450"/>
        <w:jc w:val="both"/>
        <w:rPr>
          <w:rFonts w:ascii="Times New Roman" w:hAnsi="Times New Roman" w:cs="Times New Roman"/>
        </w:rPr>
      </w:pPr>
      <w:r w:rsidRPr="000A791A">
        <w:rPr>
          <w:rFonts w:ascii="Times New Roman" w:hAnsi="Times New Roman" w:cs="Times New Roman"/>
          <w:u w:val="single"/>
        </w:rPr>
        <w:t>Strahlendorf v. Walgreen Co.</w:t>
      </w:r>
      <w:r w:rsidRPr="000A791A">
        <w:rPr>
          <w:rFonts w:ascii="Times New Roman" w:hAnsi="Times New Roman" w:cs="Times New Roman"/>
        </w:rPr>
        <w:t>, 16 Wis.</w:t>
      </w:r>
      <w:r w:rsidR="007B61D6">
        <w:rPr>
          <w:rFonts w:ascii="Times New Roman" w:hAnsi="Times New Roman" w:cs="Times New Roman"/>
        </w:rPr>
        <w:t xml:space="preserve"> </w:t>
      </w:r>
      <w:r w:rsidRPr="000A791A">
        <w:rPr>
          <w:rFonts w:ascii="Times New Roman" w:hAnsi="Times New Roman" w:cs="Times New Roman"/>
        </w:rPr>
        <w:t xml:space="preserve">2d 421, 114 N.W.2d </w:t>
      </w:r>
      <w:r w:rsidR="0069199A">
        <w:rPr>
          <w:rFonts w:ascii="Times New Roman" w:hAnsi="Times New Roman" w:cs="Times New Roman"/>
        </w:rPr>
        <w:t>823</w:t>
      </w:r>
      <w:r w:rsidRPr="000A791A">
        <w:rPr>
          <w:rFonts w:ascii="Times New Roman" w:hAnsi="Times New Roman" w:cs="Times New Roman"/>
        </w:rPr>
        <w:t xml:space="preserve"> (1962); </w:t>
      </w:r>
      <w:r w:rsidRPr="000A791A">
        <w:rPr>
          <w:rFonts w:ascii="Times New Roman" w:hAnsi="Times New Roman" w:cs="Times New Roman"/>
          <w:u w:val="single"/>
        </w:rPr>
        <w:t>Smith v. Atco Co.</w:t>
      </w:r>
      <w:r w:rsidRPr="000A791A">
        <w:rPr>
          <w:rFonts w:ascii="Times New Roman" w:hAnsi="Times New Roman" w:cs="Times New Roman"/>
        </w:rPr>
        <w:t>, 6 Wis.</w:t>
      </w:r>
      <w:r w:rsidR="007B61D6">
        <w:rPr>
          <w:rFonts w:ascii="Times New Roman" w:hAnsi="Times New Roman" w:cs="Times New Roman"/>
        </w:rPr>
        <w:t xml:space="preserve"> </w:t>
      </w:r>
      <w:r w:rsidRPr="000A791A">
        <w:rPr>
          <w:rFonts w:ascii="Times New Roman" w:hAnsi="Times New Roman" w:cs="Times New Roman"/>
        </w:rPr>
        <w:t xml:space="preserve">2d 371, 94 N.W.2d 697 (1959); </w:t>
      </w:r>
      <w:r w:rsidRPr="000A791A">
        <w:rPr>
          <w:rFonts w:ascii="Times New Roman" w:hAnsi="Times New Roman" w:cs="Times New Roman"/>
          <w:u w:val="single"/>
        </w:rPr>
        <w:t>Ryan v. Zweck</w:t>
      </w:r>
      <w:r w:rsidR="004751B4">
        <w:rPr>
          <w:rFonts w:ascii="Times New Roman" w:hAnsi="Times New Roman" w:cs="Times New Roman"/>
          <w:u w:val="single"/>
        </w:rPr>
        <w:t>-</w:t>
      </w:r>
      <w:r w:rsidRPr="000A791A">
        <w:rPr>
          <w:rFonts w:ascii="Times New Roman" w:hAnsi="Times New Roman" w:cs="Times New Roman"/>
          <w:u w:val="single"/>
        </w:rPr>
        <w:t>Wollenberg Co.</w:t>
      </w:r>
      <w:r w:rsidRPr="000A791A">
        <w:rPr>
          <w:rFonts w:ascii="Times New Roman" w:hAnsi="Times New Roman" w:cs="Times New Roman"/>
        </w:rPr>
        <w:t xml:space="preserve">, 266 Wis. 630, 64 N.W.2d 226 (1954); </w:t>
      </w:r>
      <w:r w:rsidRPr="000A791A">
        <w:rPr>
          <w:rFonts w:ascii="Times New Roman" w:hAnsi="Times New Roman" w:cs="Times New Roman"/>
          <w:u w:val="single"/>
        </w:rPr>
        <w:t>Galst v. American Ladder Co.</w:t>
      </w:r>
      <w:r w:rsidRPr="000A791A">
        <w:rPr>
          <w:rFonts w:ascii="Times New Roman" w:hAnsi="Times New Roman" w:cs="Times New Roman"/>
        </w:rPr>
        <w:t xml:space="preserve">, 165 Wis. 307, 162 N.W. 319 (1917); </w:t>
      </w:r>
      <w:r w:rsidRPr="000A791A">
        <w:rPr>
          <w:rFonts w:ascii="Times New Roman" w:hAnsi="Times New Roman" w:cs="Times New Roman"/>
          <w:u w:val="single"/>
        </w:rPr>
        <w:t>Hasbrouck v. Armour &amp; Co.</w:t>
      </w:r>
      <w:r w:rsidRPr="000A791A">
        <w:rPr>
          <w:rFonts w:ascii="Times New Roman" w:hAnsi="Times New Roman" w:cs="Times New Roman"/>
        </w:rPr>
        <w:t xml:space="preserve">, 139 Wis. 357, </w:t>
      </w:r>
      <w:r w:rsidRPr="000A791A">
        <w:rPr>
          <w:rFonts w:ascii="Times New Roman" w:hAnsi="Times New Roman" w:cs="Times New Roman"/>
        </w:rPr>
        <w:lastRenderedPageBreak/>
        <w:t xml:space="preserve">121 N.W. 157 (1909); Restatement, Second, </w:t>
      </w:r>
      <w:r w:rsidRPr="00726688">
        <w:rPr>
          <w:rFonts w:ascii="Times New Roman" w:hAnsi="Times New Roman" w:cs="Times New Roman"/>
          <w:u w:val="single"/>
        </w:rPr>
        <w:t>Torts</w:t>
      </w:r>
      <w:r w:rsidRPr="000A791A">
        <w:rPr>
          <w:rFonts w:ascii="Times New Roman" w:hAnsi="Times New Roman" w:cs="Times New Roman"/>
        </w:rPr>
        <w:t xml:space="preserve"> §§ 388, 389, 392, 394 (1965); Prosser, </w:t>
      </w:r>
      <w:r w:rsidRPr="000A791A">
        <w:rPr>
          <w:rFonts w:ascii="Times New Roman" w:hAnsi="Times New Roman" w:cs="Times New Roman"/>
          <w:u w:val="single"/>
        </w:rPr>
        <w:t>Law of Torts</w:t>
      </w:r>
      <w:r w:rsidRPr="000A791A">
        <w:rPr>
          <w:rFonts w:ascii="Times New Roman" w:hAnsi="Times New Roman" w:cs="Times New Roman"/>
        </w:rPr>
        <w:t xml:space="preserve"> § 96, pp. 646</w:t>
      </w:r>
      <w:r w:rsidR="00A71AF1">
        <w:rPr>
          <w:rFonts w:ascii="Times New Roman" w:hAnsi="Times New Roman" w:cs="Times New Roman"/>
        </w:rPr>
        <w:t>-</w:t>
      </w:r>
      <w:r w:rsidRPr="000A791A">
        <w:rPr>
          <w:rFonts w:ascii="Times New Roman" w:hAnsi="Times New Roman" w:cs="Times New Roman"/>
        </w:rPr>
        <w:t>50 (4th Ed. 1971).</w:t>
      </w:r>
    </w:p>
    <w:p w14:paraId="5F92BC8A" w14:textId="77777777" w:rsidR="00297242" w:rsidRPr="000A791A" w:rsidRDefault="00297242" w:rsidP="00297242">
      <w:pPr>
        <w:pStyle w:val="NoSpacing"/>
        <w:jc w:val="both"/>
        <w:rPr>
          <w:rFonts w:ascii="Times New Roman" w:hAnsi="Times New Roman" w:cs="Times New Roman"/>
        </w:rPr>
      </w:pPr>
    </w:p>
    <w:p w14:paraId="1B57D313" w14:textId="613E7FBD" w:rsidR="00297242" w:rsidRPr="000A791A" w:rsidRDefault="008619A3" w:rsidP="00297242">
      <w:pPr>
        <w:pStyle w:val="NoSpacing"/>
        <w:ind w:firstLine="450"/>
        <w:jc w:val="both"/>
        <w:rPr>
          <w:rFonts w:ascii="Times New Roman" w:hAnsi="Times New Roman" w:cs="Times New Roman"/>
        </w:rPr>
      </w:pPr>
      <w:r w:rsidRPr="000A791A">
        <w:rPr>
          <w:rFonts w:ascii="Times New Roman" w:hAnsi="Times New Roman" w:cs="Times New Roman"/>
          <w:b/>
          <w:bCs/>
        </w:rPr>
        <w:t>Notice Requirement</w:t>
      </w:r>
      <w:r w:rsidRPr="000A791A">
        <w:rPr>
          <w:rFonts w:ascii="Times New Roman" w:hAnsi="Times New Roman" w:cs="Times New Roman"/>
        </w:rPr>
        <w:t xml:space="preserve">. </w:t>
      </w:r>
      <w:r w:rsidR="00297242" w:rsidRPr="000A791A">
        <w:rPr>
          <w:rFonts w:ascii="Times New Roman" w:hAnsi="Times New Roman" w:cs="Times New Roman"/>
        </w:rPr>
        <w:t>Before a seller can be held responsible for failure to warn, he or she must have actual or constructive notice of the dangers of the product.</w:t>
      </w:r>
      <w:r w:rsidR="00B45F2A">
        <w:rPr>
          <w:rFonts w:ascii="Times New Roman" w:hAnsi="Times New Roman" w:cs="Times New Roman"/>
        </w:rPr>
        <w:t xml:space="preserve"> </w:t>
      </w:r>
      <w:r w:rsidR="00297242" w:rsidRPr="000A791A">
        <w:rPr>
          <w:rFonts w:ascii="Times New Roman" w:hAnsi="Times New Roman" w:cs="Times New Roman"/>
          <w:u w:val="single"/>
        </w:rPr>
        <w:t>Strahlendorf</w:t>
      </w:r>
      <w:r w:rsidR="00297242" w:rsidRPr="000A791A">
        <w:rPr>
          <w:rFonts w:ascii="Times New Roman" w:hAnsi="Times New Roman" w:cs="Times New Roman"/>
        </w:rPr>
        <w:t xml:space="preserve">, </w:t>
      </w:r>
      <w:r w:rsidR="00297242" w:rsidRPr="000A791A">
        <w:rPr>
          <w:rFonts w:ascii="Times New Roman" w:hAnsi="Times New Roman" w:cs="Times New Roman"/>
          <w:u w:val="single"/>
        </w:rPr>
        <w:t>supra</w:t>
      </w:r>
      <w:r w:rsidR="00297242" w:rsidRPr="000A791A">
        <w:rPr>
          <w:rFonts w:ascii="Times New Roman" w:hAnsi="Times New Roman" w:cs="Times New Roman"/>
        </w:rPr>
        <w:t>.</w:t>
      </w:r>
    </w:p>
    <w:p w14:paraId="13494AAF" w14:textId="77777777" w:rsidR="00297242" w:rsidRPr="000A791A" w:rsidRDefault="00297242" w:rsidP="00297242">
      <w:pPr>
        <w:pStyle w:val="NoSpacing"/>
        <w:jc w:val="both"/>
        <w:rPr>
          <w:rFonts w:ascii="Times New Roman" w:hAnsi="Times New Roman" w:cs="Times New Roman"/>
        </w:rPr>
      </w:pPr>
    </w:p>
    <w:p w14:paraId="7DC2D9B0" w14:textId="5662FCCC" w:rsidR="00297242" w:rsidRPr="000A791A" w:rsidRDefault="00297242" w:rsidP="00297242">
      <w:pPr>
        <w:pStyle w:val="NoSpacing"/>
        <w:ind w:firstLine="450"/>
        <w:jc w:val="both"/>
        <w:rPr>
          <w:rFonts w:ascii="Times New Roman" w:hAnsi="Times New Roman" w:cs="Times New Roman"/>
        </w:rPr>
      </w:pPr>
      <w:r w:rsidRPr="000A791A">
        <w:rPr>
          <w:rFonts w:ascii="Times New Roman" w:hAnsi="Times New Roman" w:cs="Times New Roman"/>
          <w:b/>
          <w:bCs/>
        </w:rPr>
        <w:t>Negligence: Duty of Manufacturer (Supplier) to Warn</w:t>
      </w:r>
      <w:r w:rsidRPr="000A791A">
        <w:rPr>
          <w:rFonts w:ascii="Times New Roman" w:hAnsi="Times New Roman" w:cs="Times New Roman"/>
        </w:rPr>
        <w:t xml:space="preserve">. A failure to warn is not an affirmative act of negligence. Thus, a supplier of a chattel who has failed to warn of its danger has committed an act of omission, not commission. See </w:t>
      </w:r>
      <w:r w:rsidRPr="000A791A">
        <w:rPr>
          <w:rFonts w:ascii="Times New Roman" w:hAnsi="Times New Roman" w:cs="Times New Roman"/>
          <w:u w:val="single"/>
        </w:rPr>
        <w:t>Tatera v. FMC Corp.</w:t>
      </w:r>
      <w:r w:rsidRPr="000A791A">
        <w:rPr>
          <w:rFonts w:ascii="Times New Roman" w:hAnsi="Times New Roman" w:cs="Times New Roman"/>
        </w:rPr>
        <w:t>, 2010 WI 90, ¶ 30, 328 Wis.</w:t>
      </w:r>
      <w:r w:rsidR="007B61D6">
        <w:rPr>
          <w:rFonts w:ascii="Times New Roman" w:hAnsi="Times New Roman" w:cs="Times New Roman"/>
        </w:rPr>
        <w:t xml:space="preserve"> </w:t>
      </w:r>
      <w:r w:rsidRPr="000A791A">
        <w:rPr>
          <w:rFonts w:ascii="Times New Roman" w:hAnsi="Times New Roman" w:cs="Times New Roman"/>
        </w:rPr>
        <w:t>2d 320, 786 N.W.2d 810.</w:t>
      </w:r>
    </w:p>
    <w:p w14:paraId="37262508" w14:textId="77777777" w:rsidR="00297242" w:rsidRPr="000A791A" w:rsidRDefault="00297242" w:rsidP="00297242">
      <w:pPr>
        <w:pStyle w:val="NoSpacing"/>
        <w:jc w:val="both"/>
        <w:rPr>
          <w:rFonts w:ascii="Times New Roman" w:hAnsi="Times New Roman" w:cs="Times New Roman"/>
        </w:rPr>
      </w:pPr>
    </w:p>
    <w:p w14:paraId="4D67738E" w14:textId="59EFFC2D" w:rsidR="00297242" w:rsidRPr="000A791A" w:rsidRDefault="00297242" w:rsidP="00297242">
      <w:pPr>
        <w:pStyle w:val="NoSpacing"/>
        <w:ind w:firstLine="450"/>
        <w:jc w:val="both"/>
        <w:rPr>
          <w:rFonts w:ascii="Times New Roman" w:hAnsi="Times New Roman" w:cs="Times New Roman"/>
        </w:rPr>
      </w:pPr>
      <w:r w:rsidRPr="000A791A">
        <w:rPr>
          <w:rFonts w:ascii="Times New Roman" w:hAnsi="Times New Roman" w:cs="Times New Roman"/>
        </w:rPr>
        <w:t>The duty to warn runs to all whom the supplier or manufacturer should expect to use the chattel or be endangered by its use.</w:t>
      </w:r>
      <w:r w:rsidR="00B45F2A">
        <w:rPr>
          <w:rFonts w:ascii="Times New Roman" w:hAnsi="Times New Roman" w:cs="Times New Roman"/>
        </w:rPr>
        <w:t xml:space="preserve"> </w:t>
      </w:r>
      <w:r w:rsidRPr="000A791A">
        <w:rPr>
          <w:rFonts w:ascii="Times New Roman" w:hAnsi="Times New Roman" w:cs="Times New Roman"/>
        </w:rPr>
        <w:t xml:space="preserve">This includes purchasers, users, consumers, and handlers of the product.  Restatement, Second, </w:t>
      </w:r>
      <w:r w:rsidRPr="000A791A">
        <w:rPr>
          <w:rFonts w:ascii="Times New Roman" w:hAnsi="Times New Roman" w:cs="Times New Roman"/>
          <w:u w:val="single"/>
        </w:rPr>
        <w:t>Torts</w:t>
      </w:r>
      <w:r w:rsidRPr="000A791A">
        <w:rPr>
          <w:rFonts w:ascii="Times New Roman" w:hAnsi="Times New Roman" w:cs="Times New Roman"/>
        </w:rPr>
        <w:t xml:space="preserve"> § 388, Comment a (1965).</w:t>
      </w:r>
    </w:p>
    <w:p w14:paraId="14C8EBA6" w14:textId="77777777" w:rsidR="00297242" w:rsidRPr="000A791A" w:rsidRDefault="00297242" w:rsidP="00297242">
      <w:pPr>
        <w:pStyle w:val="NoSpacing"/>
        <w:jc w:val="both"/>
        <w:rPr>
          <w:rFonts w:ascii="Times New Roman" w:hAnsi="Times New Roman" w:cs="Times New Roman"/>
        </w:rPr>
      </w:pPr>
    </w:p>
    <w:p w14:paraId="200C994B" w14:textId="663FD6E9" w:rsidR="00AC55BA" w:rsidRPr="000A791A" w:rsidRDefault="00297242" w:rsidP="00297242">
      <w:pPr>
        <w:pStyle w:val="NoSpacing"/>
        <w:ind w:firstLine="450"/>
        <w:jc w:val="both"/>
        <w:rPr>
          <w:rFonts w:ascii="Times New Roman" w:hAnsi="Times New Roman" w:cs="Times New Roman"/>
        </w:rPr>
      </w:pPr>
      <w:r w:rsidRPr="000A791A">
        <w:rPr>
          <w:rFonts w:ascii="Times New Roman" w:hAnsi="Times New Roman" w:cs="Times New Roman"/>
        </w:rPr>
        <w:t>See also Wis JI–Civil 3262 for strict liability for failure to warn.</w:t>
      </w:r>
    </w:p>
    <w:p w14:paraId="7F1519EE" w14:textId="6A190CF4" w:rsidR="00D11CE7" w:rsidRPr="000A791A" w:rsidRDefault="00D11CE7" w:rsidP="00D11CE7">
      <w:pPr>
        <w:pStyle w:val="NoSpacing"/>
        <w:jc w:val="both"/>
        <w:rPr>
          <w:rFonts w:ascii="Times New Roman" w:hAnsi="Times New Roman" w:cs="Times New Roman"/>
        </w:rPr>
      </w:pPr>
    </w:p>
    <w:p w14:paraId="69CE9482" w14:textId="2C8DC552" w:rsidR="00D11CE7" w:rsidRPr="000A791A" w:rsidRDefault="00D11CE7" w:rsidP="00D11CE7">
      <w:pPr>
        <w:pStyle w:val="NoSpacing"/>
        <w:ind w:firstLine="450"/>
        <w:jc w:val="both"/>
        <w:rPr>
          <w:rFonts w:ascii="Times New Roman" w:hAnsi="Times New Roman" w:cs="Times New Roman"/>
        </w:rPr>
      </w:pPr>
      <w:r w:rsidRPr="000A791A">
        <w:rPr>
          <w:rFonts w:ascii="Times New Roman" w:hAnsi="Times New Roman" w:cs="Times New Roman"/>
          <w:b/>
          <w:bCs/>
        </w:rPr>
        <w:t>Foreseeable Misuse</w:t>
      </w:r>
      <w:r w:rsidRPr="000A791A">
        <w:rPr>
          <w:rFonts w:ascii="Times New Roman" w:hAnsi="Times New Roman" w:cs="Times New Roman"/>
        </w:rPr>
        <w:t>. The duty to warn is not limited to dangers arising from a product’s intended use.</w:t>
      </w:r>
      <w:r w:rsidR="00B45F2A">
        <w:rPr>
          <w:rFonts w:ascii="Times New Roman" w:hAnsi="Times New Roman" w:cs="Times New Roman"/>
        </w:rPr>
        <w:t xml:space="preserve"> </w:t>
      </w:r>
      <w:r w:rsidRPr="000A791A">
        <w:rPr>
          <w:rFonts w:ascii="Times New Roman" w:hAnsi="Times New Roman" w:cs="Times New Roman"/>
        </w:rPr>
        <w:t xml:space="preserve">It also extends to dangers arising from reasonably foreseeable misuses. A manufacturer must anticipate the environment in which its product will be used, including “all reasonable uses and misuses” and the foreseeable dangers that may result. </w:t>
      </w:r>
      <w:r w:rsidRPr="000A791A">
        <w:rPr>
          <w:rFonts w:ascii="Times New Roman" w:hAnsi="Times New Roman" w:cs="Times New Roman"/>
          <w:u w:val="single"/>
        </w:rPr>
        <w:t>Tanner v. Shoupe</w:t>
      </w:r>
      <w:r w:rsidRPr="000A791A">
        <w:rPr>
          <w:rFonts w:ascii="Times New Roman" w:hAnsi="Times New Roman" w:cs="Times New Roman"/>
        </w:rPr>
        <w:t>, 228 Wis. 2d 357, 367-68, 596 N.W.2d 805 (Ct. App. 1999).</w:t>
      </w:r>
    </w:p>
    <w:p w14:paraId="3524201C" w14:textId="77777777" w:rsidR="00D11CE7" w:rsidRPr="000A791A" w:rsidRDefault="00D11CE7" w:rsidP="00D11CE7">
      <w:pPr>
        <w:pStyle w:val="NoSpacing"/>
        <w:ind w:firstLine="450"/>
        <w:jc w:val="both"/>
        <w:rPr>
          <w:rFonts w:ascii="Times New Roman" w:hAnsi="Times New Roman" w:cs="Times New Roman"/>
        </w:rPr>
      </w:pPr>
    </w:p>
    <w:p w14:paraId="45F0B228" w14:textId="77777777" w:rsidR="00D11CE7" w:rsidRPr="000A791A" w:rsidRDefault="00D11CE7" w:rsidP="00D11CE7">
      <w:pPr>
        <w:pStyle w:val="NoSpacing"/>
        <w:ind w:firstLine="450"/>
        <w:jc w:val="both"/>
        <w:rPr>
          <w:rFonts w:ascii="Times New Roman" w:hAnsi="Times New Roman" w:cs="Times New Roman"/>
        </w:rPr>
      </w:pPr>
      <w:r w:rsidRPr="000A791A">
        <w:rPr>
          <w:rFonts w:ascii="Times New Roman" w:hAnsi="Times New Roman" w:cs="Times New Roman"/>
        </w:rPr>
        <w:t xml:space="preserve">The foreseeability inquiry is objective and focuses on the manufacturer’s perspective. It asks what the manufacturer reasonably could have anticipated about the uses or misuses of the product by its customer base, not whether the particular plaintiff’s own history or circumstances made the misuse foreseeable. </w:t>
      </w:r>
      <w:r w:rsidRPr="000A791A">
        <w:rPr>
          <w:rFonts w:ascii="Times New Roman" w:hAnsi="Times New Roman" w:cs="Times New Roman"/>
          <w:u w:val="single"/>
        </w:rPr>
        <w:t>Aker v. Good Sportsman Marketing, LLC</w:t>
      </w:r>
      <w:r w:rsidRPr="000A791A">
        <w:rPr>
          <w:rFonts w:ascii="Times New Roman" w:hAnsi="Times New Roman" w:cs="Times New Roman"/>
        </w:rPr>
        <w:t>, 2026 WI App 3, ¶¶ 39-41, 419 Wis. 2d 460, 31 N.W.3d 1.</w:t>
      </w:r>
    </w:p>
    <w:p w14:paraId="3DEF7628" w14:textId="77777777" w:rsidR="00D11CE7" w:rsidRPr="000A791A" w:rsidRDefault="00D11CE7" w:rsidP="00D11CE7">
      <w:pPr>
        <w:pStyle w:val="NoSpacing"/>
        <w:ind w:firstLine="450"/>
        <w:jc w:val="both"/>
        <w:rPr>
          <w:rFonts w:ascii="Times New Roman" w:hAnsi="Times New Roman" w:cs="Times New Roman"/>
        </w:rPr>
      </w:pPr>
    </w:p>
    <w:p w14:paraId="2694BD44" w14:textId="77777777" w:rsidR="00D11CE7" w:rsidRPr="000A791A" w:rsidRDefault="00D11CE7" w:rsidP="00D11CE7">
      <w:pPr>
        <w:pStyle w:val="NoSpacing"/>
        <w:ind w:firstLine="450"/>
        <w:jc w:val="both"/>
        <w:rPr>
          <w:rFonts w:ascii="Times New Roman" w:hAnsi="Times New Roman" w:cs="Times New Roman"/>
        </w:rPr>
      </w:pPr>
      <w:r w:rsidRPr="000A791A">
        <w:rPr>
          <w:rFonts w:ascii="Times New Roman" w:hAnsi="Times New Roman" w:cs="Times New Roman"/>
        </w:rPr>
        <w:t xml:space="preserve">In </w:t>
      </w:r>
      <w:r w:rsidRPr="000A791A">
        <w:rPr>
          <w:rFonts w:ascii="Times New Roman" w:hAnsi="Times New Roman" w:cs="Times New Roman"/>
          <w:u w:val="single"/>
        </w:rPr>
        <w:t>Aker</w:t>
      </w:r>
      <w:r w:rsidRPr="000A791A">
        <w:rPr>
          <w:rFonts w:ascii="Times New Roman" w:hAnsi="Times New Roman" w:cs="Times New Roman"/>
        </w:rPr>
        <w:t xml:space="preserve">, the court held that a genuine issue of material fact existed as to foreseeable misuse where a hunter used a carabiner to connect part of a safety harness system in a manner not intended by the manufacturer. The court emphasized that the relevant question was whether the manufacturer reasonably could have anticipated that consumers, including those familiar with similar products using different connection methods, might misuse the product in that way. The inquiry did not turn on the plaintiff’s individual product history. </w:t>
      </w:r>
      <w:r w:rsidRPr="000A791A">
        <w:rPr>
          <w:rFonts w:ascii="Times New Roman" w:hAnsi="Times New Roman" w:cs="Times New Roman"/>
          <w:u w:val="single"/>
        </w:rPr>
        <w:t>Id</w:t>
      </w:r>
      <w:r w:rsidRPr="000A791A">
        <w:rPr>
          <w:rFonts w:ascii="Times New Roman" w:hAnsi="Times New Roman" w:cs="Times New Roman"/>
        </w:rPr>
        <w:t>., ¶¶ 33, 40-41.</w:t>
      </w:r>
    </w:p>
    <w:p w14:paraId="332DA049" w14:textId="77777777" w:rsidR="00D11CE7" w:rsidRPr="000A791A" w:rsidRDefault="00D11CE7" w:rsidP="00D11CE7">
      <w:pPr>
        <w:pStyle w:val="NoSpacing"/>
        <w:ind w:firstLine="450"/>
        <w:jc w:val="both"/>
        <w:rPr>
          <w:rFonts w:ascii="Times New Roman" w:hAnsi="Times New Roman" w:cs="Times New Roman"/>
        </w:rPr>
      </w:pPr>
    </w:p>
    <w:p w14:paraId="5E12D072" w14:textId="456E51C5" w:rsidR="00D11CE7" w:rsidRPr="000A791A" w:rsidRDefault="00D11CE7" w:rsidP="00D11CE7">
      <w:pPr>
        <w:pStyle w:val="NoSpacing"/>
        <w:ind w:firstLine="450"/>
        <w:jc w:val="both"/>
        <w:rPr>
          <w:rFonts w:ascii="Times New Roman" w:hAnsi="Times New Roman" w:cs="Times New Roman"/>
        </w:rPr>
      </w:pPr>
      <w:r w:rsidRPr="000A791A">
        <w:rPr>
          <w:rFonts w:ascii="Times New Roman" w:hAnsi="Times New Roman" w:cs="Times New Roman"/>
        </w:rPr>
        <w:t xml:space="preserve">The court also reaffirmed that a manufacturer does not conclusively establish unforeseeability merely by showing that it used a human-factors expert during product design or that it had received no prior reports of the same misuse. </w:t>
      </w:r>
      <w:r w:rsidRPr="000A791A">
        <w:rPr>
          <w:rFonts w:ascii="Times New Roman" w:hAnsi="Times New Roman" w:cs="Times New Roman"/>
          <w:u w:val="single"/>
        </w:rPr>
        <w:t>Id</w:t>
      </w:r>
      <w:r w:rsidRPr="000A791A">
        <w:rPr>
          <w:rFonts w:ascii="Times New Roman" w:hAnsi="Times New Roman" w:cs="Times New Roman"/>
        </w:rPr>
        <w:t xml:space="preserve">., ¶ 37. </w:t>
      </w:r>
    </w:p>
    <w:sectPr w:rsidR="00D11CE7" w:rsidRPr="000A791A" w:rsidSect="0007798B">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689AA5" w14:textId="77777777" w:rsidR="00297242" w:rsidRDefault="00297242" w:rsidP="00297242">
      <w:pPr>
        <w:spacing w:after="0" w:line="240" w:lineRule="auto"/>
      </w:pPr>
      <w:r>
        <w:separator/>
      </w:r>
    </w:p>
  </w:endnote>
  <w:endnote w:type="continuationSeparator" w:id="0">
    <w:p w14:paraId="5F484C44" w14:textId="77777777" w:rsidR="00297242" w:rsidRDefault="00297242" w:rsidP="002972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3597F3" w14:textId="77777777" w:rsidR="00297242" w:rsidRDefault="00297242" w:rsidP="00297242">
    <w:pPr>
      <w:pStyle w:val="Footer"/>
      <w:jc w:val="both"/>
      <w:rPr>
        <w:rFonts w:ascii="Arial" w:hAnsi="Arial" w:cs="Arial"/>
        <w:sz w:val="20"/>
        <w:szCs w:val="20"/>
      </w:rPr>
    </w:pPr>
  </w:p>
  <w:p w14:paraId="5AA35675" w14:textId="01883AFF" w:rsidR="00297242" w:rsidRPr="00297242" w:rsidRDefault="00297242" w:rsidP="00297242">
    <w:pPr>
      <w:pStyle w:val="Footer"/>
      <w:jc w:val="both"/>
      <w:rPr>
        <w:rFonts w:ascii="Arial" w:hAnsi="Arial" w:cs="Arial"/>
        <w:sz w:val="20"/>
        <w:szCs w:val="20"/>
      </w:rPr>
    </w:pPr>
    <w:r w:rsidRPr="00297242">
      <w:rPr>
        <w:rFonts w:ascii="Arial" w:hAnsi="Arial" w:cs="Arial"/>
        <w:sz w:val="20"/>
        <w:szCs w:val="20"/>
      </w:rPr>
      <w:t xml:space="preserve">Wisconsin Court System, </w:t>
    </w:r>
    <w:r w:rsidR="00CF4922">
      <w:rPr>
        <w:rFonts w:ascii="Arial" w:hAnsi="Arial" w:cs="Arial"/>
        <w:sz w:val="20"/>
        <w:szCs w:val="20"/>
      </w:rPr>
      <w:t>7</w:t>
    </w:r>
    <w:r w:rsidRPr="00297242">
      <w:rPr>
        <w:rFonts w:ascii="Arial" w:hAnsi="Arial" w:cs="Arial"/>
        <w:sz w:val="20"/>
        <w:szCs w:val="20"/>
      </w:rPr>
      <w:t>/2026</w:t>
    </w:r>
    <w:r w:rsidRPr="00297242">
      <w:rPr>
        <w:rFonts w:ascii="Arial" w:hAnsi="Arial" w:cs="Arial"/>
        <w:sz w:val="20"/>
        <w:szCs w:val="20"/>
      </w:rPr>
      <w:tab/>
    </w:r>
    <w:r w:rsidRPr="00297242">
      <w:rPr>
        <w:rFonts w:ascii="Arial" w:hAnsi="Arial" w:cs="Arial"/>
        <w:sz w:val="20"/>
        <w:szCs w:val="20"/>
      </w:rPr>
      <w:tab/>
      <w:t>(</w:t>
    </w:r>
    <w:r w:rsidR="00CF4922">
      <w:rPr>
        <w:rFonts w:ascii="Arial" w:hAnsi="Arial" w:cs="Arial"/>
        <w:sz w:val="20"/>
        <w:szCs w:val="20"/>
      </w:rPr>
      <w:t>Release No. 61</w:t>
    </w:r>
    <w:r w:rsidRPr="00297242">
      <w:rPr>
        <w:rFonts w:ascii="Arial" w:hAnsi="Arial" w:cs="Arial"/>
        <w:sz w:val="20"/>
        <w:szCs w:val="20"/>
      </w:rPr>
      <w:t>)</w:t>
    </w:r>
  </w:p>
  <w:sdt>
    <w:sdtPr>
      <w:rPr>
        <w:rFonts w:ascii="Arial" w:hAnsi="Arial" w:cs="Arial"/>
        <w:sz w:val="20"/>
        <w:szCs w:val="20"/>
      </w:rPr>
      <w:id w:val="-416784400"/>
      <w:docPartObj>
        <w:docPartGallery w:val="Page Numbers (Bottom of Page)"/>
        <w:docPartUnique/>
      </w:docPartObj>
    </w:sdtPr>
    <w:sdtEndPr>
      <w:rPr>
        <w:noProof/>
      </w:rPr>
    </w:sdtEndPr>
    <w:sdtContent>
      <w:p w14:paraId="0FD10C23" w14:textId="2987D281" w:rsidR="00297242" w:rsidRPr="00297242" w:rsidRDefault="00297242">
        <w:pPr>
          <w:pStyle w:val="Footer"/>
          <w:jc w:val="center"/>
          <w:rPr>
            <w:rFonts w:ascii="Arial" w:hAnsi="Arial" w:cs="Arial"/>
            <w:sz w:val="20"/>
            <w:szCs w:val="20"/>
          </w:rPr>
        </w:pPr>
        <w:r w:rsidRPr="00297242">
          <w:rPr>
            <w:rFonts w:ascii="Arial" w:hAnsi="Arial" w:cs="Arial"/>
            <w:sz w:val="20"/>
            <w:szCs w:val="20"/>
          </w:rPr>
          <w:fldChar w:fldCharType="begin"/>
        </w:r>
        <w:r w:rsidRPr="00297242">
          <w:rPr>
            <w:rFonts w:ascii="Arial" w:hAnsi="Arial" w:cs="Arial"/>
            <w:sz w:val="20"/>
            <w:szCs w:val="20"/>
          </w:rPr>
          <w:instrText xml:space="preserve"> PAGE   \* MERGEFORMAT </w:instrText>
        </w:r>
        <w:r w:rsidRPr="00297242">
          <w:rPr>
            <w:rFonts w:ascii="Arial" w:hAnsi="Arial" w:cs="Arial"/>
            <w:sz w:val="20"/>
            <w:szCs w:val="20"/>
          </w:rPr>
          <w:fldChar w:fldCharType="separate"/>
        </w:r>
        <w:r w:rsidRPr="00297242">
          <w:rPr>
            <w:rFonts w:ascii="Arial" w:hAnsi="Arial" w:cs="Arial"/>
            <w:noProof/>
            <w:sz w:val="20"/>
            <w:szCs w:val="20"/>
          </w:rPr>
          <w:t>2</w:t>
        </w:r>
        <w:r w:rsidRPr="00297242">
          <w:rPr>
            <w:rFonts w:ascii="Arial" w:hAnsi="Arial" w:cs="Arial"/>
            <w:noProof/>
            <w:sz w:val="20"/>
            <w:szCs w:val="20"/>
          </w:rPr>
          <w:fldChar w:fldCharType="end"/>
        </w:r>
      </w:p>
    </w:sdtContent>
  </w:sdt>
  <w:p w14:paraId="16E5E58F" w14:textId="77777777" w:rsidR="00297242" w:rsidRDefault="002972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23023F" w14:textId="77777777" w:rsidR="00297242" w:rsidRDefault="00297242" w:rsidP="00297242">
      <w:pPr>
        <w:spacing w:after="0" w:line="240" w:lineRule="auto"/>
      </w:pPr>
      <w:r>
        <w:separator/>
      </w:r>
    </w:p>
  </w:footnote>
  <w:footnote w:type="continuationSeparator" w:id="0">
    <w:p w14:paraId="1A3F526C" w14:textId="77777777" w:rsidR="00297242" w:rsidRDefault="00297242" w:rsidP="002972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C080CE" w14:textId="77777777" w:rsidR="00297242" w:rsidRDefault="00297242" w:rsidP="00297242">
    <w:pPr>
      <w:widowControl w:val="0"/>
      <w:tabs>
        <w:tab w:val="center" w:pos="4680"/>
        <w:tab w:val="right" w:pos="9360"/>
      </w:tabs>
      <w:autoSpaceDE w:val="0"/>
      <w:autoSpaceDN w:val="0"/>
      <w:adjustRightInd w:val="0"/>
      <w:spacing w:after="0" w:line="240" w:lineRule="auto"/>
      <w:jc w:val="both"/>
      <w:rPr>
        <w:rFonts w:ascii="Arial" w:eastAsia="Times New Roman" w:hAnsi="Arial" w:cs="Arial"/>
        <w:b/>
        <w:bCs/>
        <w:sz w:val="28"/>
        <w:szCs w:val="28"/>
      </w:rPr>
    </w:pPr>
  </w:p>
  <w:p w14:paraId="2D9D2744" w14:textId="650C23A6" w:rsidR="00297242" w:rsidRDefault="00297242" w:rsidP="00297242">
    <w:pPr>
      <w:widowControl w:val="0"/>
      <w:tabs>
        <w:tab w:val="center" w:pos="4680"/>
        <w:tab w:val="right" w:pos="9360"/>
      </w:tabs>
      <w:autoSpaceDE w:val="0"/>
      <w:autoSpaceDN w:val="0"/>
      <w:adjustRightInd w:val="0"/>
      <w:spacing w:after="0" w:line="240" w:lineRule="auto"/>
      <w:jc w:val="both"/>
      <w:rPr>
        <w:rFonts w:ascii="Arial" w:eastAsia="Times New Roman" w:hAnsi="Arial" w:cs="Arial"/>
        <w:b/>
        <w:bCs/>
        <w:sz w:val="28"/>
        <w:szCs w:val="28"/>
      </w:rPr>
    </w:pPr>
    <w:r w:rsidRPr="00297242">
      <w:rPr>
        <w:rFonts w:ascii="Arial" w:eastAsia="Times New Roman" w:hAnsi="Arial" w:cs="Arial"/>
        <w:b/>
        <w:bCs/>
        <w:sz w:val="28"/>
        <w:szCs w:val="28"/>
      </w:rPr>
      <w:t>3242</w:t>
    </w:r>
    <w:r w:rsidRPr="00297242">
      <w:rPr>
        <w:rFonts w:ascii="Arial" w:eastAsia="Times New Roman" w:hAnsi="Arial" w:cs="Arial"/>
        <w:b/>
        <w:bCs/>
        <w:sz w:val="28"/>
        <w:szCs w:val="28"/>
      </w:rPr>
      <w:tab/>
      <w:t>WIS JI</w:t>
    </w:r>
    <w:r w:rsidRPr="00297242">
      <w:rPr>
        <w:rFonts w:ascii="Arial" w:eastAsia="Times New Roman" w:hAnsi="Arial" w:cs="Arial"/>
        <w:b/>
        <w:bCs/>
        <w:sz w:val="28"/>
        <w:szCs w:val="28"/>
      </w:rPr>
      <w:noBreakHyphen/>
      <w:t>CIVIL</w:t>
    </w:r>
    <w:r w:rsidRPr="00297242">
      <w:rPr>
        <w:rFonts w:ascii="Arial" w:eastAsia="Times New Roman" w:hAnsi="Arial" w:cs="Arial"/>
        <w:b/>
        <w:bCs/>
        <w:sz w:val="28"/>
        <w:szCs w:val="28"/>
      </w:rPr>
      <w:tab/>
      <w:t>3242</w:t>
    </w:r>
  </w:p>
  <w:p w14:paraId="177E00B5" w14:textId="57EDEFB4" w:rsidR="00297242" w:rsidRDefault="00297242" w:rsidP="00297242">
    <w:pPr>
      <w:widowControl w:val="0"/>
      <w:tabs>
        <w:tab w:val="center" w:pos="4680"/>
        <w:tab w:val="right" w:pos="9360"/>
      </w:tabs>
      <w:autoSpaceDE w:val="0"/>
      <w:autoSpaceDN w:val="0"/>
      <w:adjustRightInd w:val="0"/>
      <w:spacing w:after="0" w:line="240" w:lineRule="auto"/>
      <w:jc w:val="both"/>
      <w:rPr>
        <w:rFonts w:ascii="Arial" w:eastAsia="Times New Roman" w:hAnsi="Arial" w:cs="Arial"/>
        <w:b/>
        <w:bCs/>
        <w:sz w:val="28"/>
        <w:szCs w:val="28"/>
      </w:rPr>
    </w:pPr>
  </w:p>
  <w:p w14:paraId="5E119EF6" w14:textId="77777777" w:rsidR="00297242" w:rsidRPr="00297242" w:rsidRDefault="00297242" w:rsidP="00297242">
    <w:pPr>
      <w:widowControl w:val="0"/>
      <w:tabs>
        <w:tab w:val="center" w:pos="4680"/>
        <w:tab w:val="right" w:pos="9360"/>
      </w:tabs>
      <w:autoSpaceDE w:val="0"/>
      <w:autoSpaceDN w:val="0"/>
      <w:adjustRightInd w:val="0"/>
      <w:spacing w:after="0" w:line="240" w:lineRule="auto"/>
      <w:jc w:val="both"/>
      <w:rPr>
        <w:rFonts w:ascii="Arial" w:eastAsia="Times New Roman" w:hAnsi="Arial" w:cs="Arial"/>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7242"/>
    <w:rsid w:val="0006316C"/>
    <w:rsid w:val="0007798B"/>
    <w:rsid w:val="00077C40"/>
    <w:rsid w:val="000A791A"/>
    <w:rsid w:val="000B3DB0"/>
    <w:rsid w:val="000F456F"/>
    <w:rsid w:val="00297242"/>
    <w:rsid w:val="00350D99"/>
    <w:rsid w:val="00372C47"/>
    <w:rsid w:val="004751B4"/>
    <w:rsid w:val="00591458"/>
    <w:rsid w:val="005F7F75"/>
    <w:rsid w:val="00610D46"/>
    <w:rsid w:val="0069199A"/>
    <w:rsid w:val="00726688"/>
    <w:rsid w:val="007B61D6"/>
    <w:rsid w:val="008619A3"/>
    <w:rsid w:val="008D3227"/>
    <w:rsid w:val="00950C91"/>
    <w:rsid w:val="00A02811"/>
    <w:rsid w:val="00A34CC8"/>
    <w:rsid w:val="00A71AF1"/>
    <w:rsid w:val="00AC55BA"/>
    <w:rsid w:val="00B45F2A"/>
    <w:rsid w:val="00BF36D0"/>
    <w:rsid w:val="00C052B1"/>
    <w:rsid w:val="00CF4922"/>
    <w:rsid w:val="00D11C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FFD1A"/>
  <w15:chartTrackingRefBased/>
  <w15:docId w15:val="{F4945BD9-FC81-46B3-A5F7-2F9A32FC4F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72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7242"/>
  </w:style>
  <w:style w:type="paragraph" w:styleId="Footer">
    <w:name w:val="footer"/>
    <w:basedOn w:val="Normal"/>
    <w:link w:val="FooterChar"/>
    <w:uiPriority w:val="99"/>
    <w:unhideWhenUsed/>
    <w:rsid w:val="002972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7242"/>
  </w:style>
  <w:style w:type="paragraph" w:styleId="NoSpacing">
    <w:name w:val="No Spacing"/>
    <w:uiPriority w:val="1"/>
    <w:qFormat/>
    <w:rsid w:val="00297242"/>
    <w:pPr>
      <w:spacing w:after="0" w:line="240" w:lineRule="auto"/>
    </w:pPr>
  </w:style>
  <w:style w:type="character" w:styleId="LineNumber">
    <w:name w:val="line number"/>
    <w:basedOn w:val="DefaultParagraphFont"/>
    <w:uiPriority w:val="99"/>
    <w:semiHidden/>
    <w:unhideWhenUsed/>
    <w:rsid w:val="002972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DCBF0-06A9-48C0-8AA1-3AC15247A8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629</Words>
  <Characters>3587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Wisconsin Supreme Court</Company>
  <LinksUpToDate>false</LinksUpToDate>
  <CharactersWithSpaces>4208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Bryce Pierson</dc:creator>
  <cp:keywords/>
  <dc:description/>
  <cp:lastModifiedBy>Bryce Pierson</cp:lastModifiedBy>
  <cp:revision>14</cp:revision>
  <cp:lastPrinted>2026-05-25T15:50:00Z</cp:lastPrinted>
  <dcterms:created xsi:type="dcterms:W3CDTF">2026-07-21T18:07:00Z</dcterms:created>
  <dcterms:modified xsi:type="dcterms:W3CDTF">2026-07-21T18:35:00Z</dcterms:modified>
</cp:coreProperties>
</file>