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058C2" w14:textId="77777777" w:rsidR="00FB4A98" w:rsidRPr="00D8347A" w:rsidRDefault="00FB4A98" w:rsidP="00FB4A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rPr>
          <w:rFonts w:ascii="Times New Roman" w:eastAsia="Times New Roman" w:hAnsi="Times New Roman" w:cs="Times New Roman"/>
          <w:b/>
          <w:bCs/>
          <w:sz w:val="26"/>
          <w:szCs w:val="26"/>
        </w:rPr>
      </w:pPr>
      <w:r w:rsidRPr="00D8347A">
        <w:rPr>
          <w:rFonts w:ascii="Times New Roman" w:eastAsia="Times New Roman" w:hAnsi="Times New Roman" w:cs="Times New Roman"/>
          <w:b/>
          <w:bCs/>
          <w:sz w:val="26"/>
          <w:szCs w:val="26"/>
        </w:rPr>
        <w:t>8065</w:t>
      </w:r>
      <w:r w:rsidRPr="00D8347A">
        <w:rPr>
          <w:rFonts w:ascii="Times New Roman" w:eastAsia="Times New Roman" w:hAnsi="Times New Roman" w:cs="Times New Roman"/>
          <w:b/>
          <w:bCs/>
          <w:sz w:val="26"/>
          <w:szCs w:val="26"/>
        </w:rPr>
        <w:tab/>
        <w:t>PRESCRIPTIVE RIGHTS BY USER: DOMESTIC CORPORATION</w:t>
      </w:r>
      <w:r w:rsidR="00890CDB" w:rsidRPr="00D8347A">
        <w:rPr>
          <w:rFonts w:ascii="Times New Roman" w:eastAsia="Times New Roman" w:hAnsi="Times New Roman" w:cs="Times New Roman"/>
          <w:b/>
          <w:bCs/>
          <w:sz w:val="26"/>
          <w:szCs w:val="26"/>
        </w:rPr>
        <w:t>, COOPERATIVE ASSOCIATION, OR COOPERATIVE</w:t>
      </w:r>
      <w:r w:rsidRPr="00D8347A">
        <w:rPr>
          <w:rFonts w:ascii="Times New Roman" w:eastAsia="Times New Roman" w:hAnsi="Times New Roman" w:cs="Times New Roman"/>
          <w:b/>
          <w:bCs/>
          <w:sz w:val="26"/>
          <w:szCs w:val="26"/>
        </w:rPr>
        <w:t xml:space="preserve"> (WIS. STAT. § 893.28(2))</w:t>
      </w:r>
    </w:p>
    <w:p w14:paraId="57B9D494" w14:textId="77777777" w:rsidR="009507C4" w:rsidRPr="00D8347A" w:rsidRDefault="009507C4" w:rsidP="009507C4">
      <w:pPr>
        <w:pStyle w:val="NoSpacing"/>
        <w:jc w:val="both"/>
      </w:pPr>
    </w:p>
    <w:p w14:paraId="0F1D2442" w14:textId="77777777" w:rsidR="009507C4" w:rsidRPr="00D8347A" w:rsidRDefault="009507C4" w:rsidP="009507C4">
      <w:pPr>
        <w:pStyle w:val="NoSpacing"/>
        <w:jc w:val="both"/>
      </w:pPr>
    </w:p>
    <w:p w14:paraId="6C04C06E" w14:textId="6968BF5F" w:rsidR="00FB4A98" w:rsidRPr="00D8347A" w:rsidRDefault="00890CDB" w:rsidP="009507C4">
      <w:pPr>
        <w:pStyle w:val="NoSpacing"/>
        <w:spacing w:line="480" w:lineRule="auto"/>
        <w:ind w:firstLine="450"/>
        <w:jc w:val="both"/>
        <w:rPr>
          <w:rFonts w:ascii="Times New Roman" w:hAnsi="Times New Roman" w:cs="Times New Roman"/>
          <w:sz w:val="26"/>
          <w:szCs w:val="26"/>
        </w:rPr>
      </w:pPr>
      <w:r w:rsidRPr="00D8347A">
        <w:rPr>
          <w:rFonts w:ascii="Times New Roman" w:hAnsi="Times New Roman" w:cs="Times New Roman"/>
          <w:sz w:val="26"/>
          <w:szCs w:val="26"/>
        </w:rPr>
        <w:t>(</w:t>
      </w:r>
      <w:r w:rsidRPr="00D8347A">
        <w:rPr>
          <w:rFonts w:ascii="Times New Roman" w:hAnsi="Times New Roman" w:cs="Times New Roman"/>
          <w:sz w:val="26"/>
          <w:szCs w:val="26"/>
          <w:u w:val="single"/>
        </w:rPr>
        <w:t>Prescriptive easement user</w:t>
      </w:r>
      <w:r w:rsidRPr="00D8347A">
        <w:rPr>
          <w:rFonts w:ascii="Times New Roman" w:hAnsi="Times New Roman" w:cs="Times New Roman"/>
          <w:sz w:val="26"/>
          <w:szCs w:val="26"/>
        </w:rPr>
        <w:t xml:space="preserve">) </w:t>
      </w:r>
      <w:r w:rsidR="00FB4A98" w:rsidRPr="00D8347A">
        <w:rPr>
          <w:rFonts w:ascii="Times New Roman" w:hAnsi="Times New Roman" w:cs="Times New Roman"/>
          <w:sz w:val="26"/>
          <w:szCs w:val="26"/>
        </w:rPr>
        <w:t>claims that it is entitled to a nonexclusive use of (</w:t>
      </w:r>
      <w:r w:rsidRPr="00D8347A">
        <w:rPr>
          <w:rFonts w:ascii="Times New Roman" w:hAnsi="Times New Roman" w:cs="Times New Roman"/>
          <w:iCs/>
          <w:sz w:val="26"/>
          <w:szCs w:val="26"/>
          <w:u w:val="single"/>
        </w:rPr>
        <w:t>title holder</w:t>
      </w:r>
      <w:r w:rsidR="00DE007A" w:rsidRPr="00D8347A">
        <w:rPr>
          <w:rFonts w:ascii="Times New Roman" w:hAnsi="Times New Roman" w:cs="Times New Roman"/>
          <w:sz w:val="26"/>
          <w:szCs w:val="26"/>
        </w:rPr>
        <w:t>)’s real estate</w:t>
      </w:r>
      <w:r w:rsidR="00FB4A98" w:rsidRPr="00D8347A">
        <w:rPr>
          <w:rFonts w:ascii="Times New Roman" w:hAnsi="Times New Roman" w:cs="Times New Roman"/>
          <w:sz w:val="26"/>
          <w:szCs w:val="26"/>
        </w:rPr>
        <w:t xml:space="preserve"> for the purpose of (</w:t>
      </w:r>
      <w:r w:rsidR="00FB4A98" w:rsidRPr="00D8347A">
        <w:rPr>
          <w:rFonts w:ascii="Times New Roman" w:hAnsi="Times New Roman" w:cs="Times New Roman"/>
          <w:iCs/>
          <w:sz w:val="26"/>
          <w:szCs w:val="26"/>
        </w:rPr>
        <w:t xml:space="preserve">describe use, </w:t>
      </w:r>
      <w:r w:rsidR="00FB4A98" w:rsidRPr="00D8347A">
        <w:rPr>
          <w:rFonts w:ascii="Times New Roman" w:hAnsi="Times New Roman" w:cs="Times New Roman"/>
          <w:iCs/>
          <w:sz w:val="26"/>
          <w:szCs w:val="26"/>
          <w:u w:val="single"/>
        </w:rPr>
        <w:t>e.g.,</w:t>
      </w:r>
      <w:r w:rsidR="00096BEB" w:rsidRPr="00D8347A">
        <w:rPr>
          <w:rFonts w:ascii="Times New Roman" w:hAnsi="Times New Roman" w:cs="Times New Roman"/>
          <w:iCs/>
          <w:sz w:val="26"/>
          <w:szCs w:val="26"/>
          <w:u w:val="single"/>
        </w:rPr>
        <w:t xml:space="preserve"> transmitting</w:t>
      </w:r>
      <w:r w:rsidR="00FB4A98" w:rsidRPr="00D8347A">
        <w:rPr>
          <w:rFonts w:ascii="Times New Roman" w:hAnsi="Times New Roman" w:cs="Times New Roman"/>
          <w:iCs/>
          <w:sz w:val="26"/>
          <w:szCs w:val="26"/>
          <w:u w:val="single"/>
        </w:rPr>
        <w:t xml:space="preserve"> </w:t>
      </w:r>
      <w:r w:rsidR="00096BEB" w:rsidRPr="00D8347A">
        <w:rPr>
          <w:rFonts w:ascii="Times New Roman" w:hAnsi="Times New Roman" w:cs="Times New Roman"/>
          <w:sz w:val="26"/>
          <w:szCs w:val="26"/>
          <w:u w:val="single"/>
        </w:rPr>
        <w:t>power or electric current</w:t>
      </w:r>
      <w:r w:rsidR="00FB4A98" w:rsidRPr="00D8347A">
        <w:rPr>
          <w:rFonts w:ascii="Times New Roman" w:hAnsi="Times New Roman" w:cs="Times New Roman"/>
          <w:sz w:val="26"/>
          <w:szCs w:val="26"/>
        </w:rPr>
        <w:t>). This is called a</w:t>
      </w:r>
      <w:r w:rsidR="00FB4A98" w:rsidRPr="00D8347A">
        <w:rPr>
          <w:rFonts w:ascii="Times New Roman" w:hAnsi="Times New Roman" w:cs="Times New Roman"/>
          <w:i/>
          <w:iCs/>
          <w:sz w:val="26"/>
          <w:szCs w:val="26"/>
        </w:rPr>
        <w:t xml:space="preserve"> </w:t>
      </w:r>
      <w:r w:rsidR="00FB4A98" w:rsidRPr="00D8347A">
        <w:rPr>
          <w:rFonts w:ascii="Times New Roman" w:hAnsi="Times New Roman" w:cs="Times New Roman"/>
          <w:iCs/>
          <w:sz w:val="26"/>
          <w:szCs w:val="26"/>
        </w:rPr>
        <w:t>prescriptive</w:t>
      </w:r>
      <w:r w:rsidR="00FB4A98" w:rsidRPr="00D8347A">
        <w:rPr>
          <w:rFonts w:ascii="Times New Roman" w:hAnsi="Times New Roman" w:cs="Times New Roman"/>
          <w:i/>
          <w:iCs/>
          <w:sz w:val="26"/>
          <w:szCs w:val="26"/>
        </w:rPr>
        <w:t xml:space="preserve"> </w:t>
      </w:r>
      <w:r w:rsidR="00FB4A98" w:rsidRPr="00D8347A">
        <w:rPr>
          <w:rFonts w:ascii="Times New Roman" w:hAnsi="Times New Roman" w:cs="Times New Roman"/>
          <w:sz w:val="26"/>
          <w:szCs w:val="26"/>
        </w:rPr>
        <w:t xml:space="preserve">easement. To </w:t>
      </w:r>
      <w:r w:rsidR="00664FC4" w:rsidRPr="00D8347A">
        <w:rPr>
          <w:rFonts w:ascii="Times New Roman" w:hAnsi="Times New Roman" w:cs="Times New Roman"/>
          <w:sz w:val="26"/>
          <w:szCs w:val="26"/>
        </w:rPr>
        <w:t xml:space="preserve">establish </w:t>
      </w:r>
      <w:r w:rsidR="00070F4A" w:rsidRPr="00D8347A">
        <w:rPr>
          <w:rFonts w:ascii="Times New Roman" w:hAnsi="Times New Roman" w:cs="Times New Roman"/>
          <w:sz w:val="26"/>
          <w:szCs w:val="26"/>
        </w:rPr>
        <w:t xml:space="preserve">a </w:t>
      </w:r>
      <w:r w:rsidR="00FB4A98" w:rsidRPr="00D8347A">
        <w:rPr>
          <w:rFonts w:ascii="Times New Roman" w:hAnsi="Times New Roman" w:cs="Times New Roman"/>
          <w:sz w:val="26"/>
          <w:szCs w:val="26"/>
        </w:rPr>
        <w:t xml:space="preserve">claim </w:t>
      </w:r>
      <w:r w:rsidR="006849E1" w:rsidRPr="00D8347A">
        <w:rPr>
          <w:rFonts w:ascii="Times New Roman" w:hAnsi="Times New Roman" w:cs="Times New Roman"/>
          <w:sz w:val="26"/>
          <w:szCs w:val="26"/>
        </w:rPr>
        <w:t xml:space="preserve">for </w:t>
      </w:r>
      <w:r w:rsidR="00FB4A98" w:rsidRPr="00D8347A">
        <w:rPr>
          <w:rFonts w:ascii="Times New Roman" w:hAnsi="Times New Roman" w:cs="Times New Roman"/>
          <w:sz w:val="26"/>
          <w:szCs w:val="26"/>
        </w:rPr>
        <w:t xml:space="preserve">a prescriptive </w:t>
      </w:r>
      <w:r w:rsidR="00070F4A" w:rsidRPr="00D8347A">
        <w:rPr>
          <w:rFonts w:ascii="Times New Roman" w:hAnsi="Times New Roman" w:cs="Times New Roman"/>
          <w:sz w:val="26"/>
          <w:szCs w:val="26"/>
        </w:rPr>
        <w:t xml:space="preserve">easement, </w:t>
      </w:r>
      <w:r w:rsidRPr="00D8347A">
        <w:rPr>
          <w:rFonts w:ascii="Times New Roman" w:hAnsi="Times New Roman" w:cs="Times New Roman"/>
          <w:sz w:val="26"/>
          <w:szCs w:val="26"/>
        </w:rPr>
        <w:t>(</w:t>
      </w:r>
      <w:r w:rsidR="00B6327D" w:rsidRPr="00D8347A">
        <w:rPr>
          <w:rFonts w:ascii="Times New Roman" w:hAnsi="Times New Roman" w:cs="Times New Roman"/>
          <w:sz w:val="26"/>
          <w:szCs w:val="26"/>
          <w:u w:val="single"/>
        </w:rPr>
        <w:t>p</w:t>
      </w:r>
      <w:r w:rsidRPr="00D8347A">
        <w:rPr>
          <w:rFonts w:ascii="Times New Roman" w:hAnsi="Times New Roman" w:cs="Times New Roman"/>
          <w:sz w:val="26"/>
          <w:szCs w:val="26"/>
          <w:u w:val="single"/>
        </w:rPr>
        <w:t>rescriptive easement user</w:t>
      </w:r>
      <w:r w:rsidRPr="00D8347A">
        <w:rPr>
          <w:rFonts w:ascii="Times New Roman" w:hAnsi="Times New Roman" w:cs="Times New Roman"/>
          <w:sz w:val="26"/>
          <w:szCs w:val="26"/>
        </w:rPr>
        <w:t xml:space="preserve">) </w:t>
      </w:r>
      <w:r w:rsidR="00FB4A98" w:rsidRPr="00D8347A">
        <w:rPr>
          <w:rFonts w:ascii="Times New Roman" w:hAnsi="Times New Roman" w:cs="Times New Roman"/>
          <w:sz w:val="26"/>
          <w:szCs w:val="26"/>
        </w:rPr>
        <w:t xml:space="preserve">must </w:t>
      </w:r>
      <w:r w:rsidR="00096BEB" w:rsidRPr="00D8347A">
        <w:rPr>
          <w:rFonts w:ascii="Times New Roman" w:hAnsi="Times New Roman" w:cs="Times New Roman"/>
          <w:sz w:val="26"/>
          <w:szCs w:val="26"/>
        </w:rPr>
        <w:t>prove</w:t>
      </w:r>
      <w:r w:rsidR="00FB4A98" w:rsidRPr="00D8347A">
        <w:rPr>
          <w:rFonts w:ascii="Times New Roman" w:hAnsi="Times New Roman" w:cs="Times New Roman"/>
          <w:sz w:val="26"/>
          <w:szCs w:val="26"/>
        </w:rPr>
        <w:t xml:space="preserve"> </w:t>
      </w:r>
      <w:r w:rsidR="0017218C" w:rsidRPr="00D8347A">
        <w:rPr>
          <w:rFonts w:ascii="Times New Roman" w:hAnsi="Times New Roman" w:cs="Times New Roman"/>
          <w:sz w:val="26"/>
          <w:szCs w:val="26"/>
        </w:rPr>
        <w:t xml:space="preserve">the </w:t>
      </w:r>
      <w:r w:rsidR="00096BEB" w:rsidRPr="00D8347A">
        <w:rPr>
          <w:rFonts w:ascii="Times New Roman" w:hAnsi="Times New Roman" w:cs="Times New Roman"/>
          <w:sz w:val="26"/>
          <w:szCs w:val="26"/>
        </w:rPr>
        <w:t xml:space="preserve">continuous </w:t>
      </w:r>
      <w:r w:rsidR="00FB4A98" w:rsidRPr="00D8347A">
        <w:rPr>
          <w:rFonts w:ascii="Times New Roman" w:hAnsi="Times New Roman" w:cs="Times New Roman"/>
          <w:sz w:val="26"/>
          <w:szCs w:val="26"/>
        </w:rPr>
        <w:t>use</w:t>
      </w:r>
      <w:r w:rsidR="00096BEB" w:rsidRPr="00D8347A">
        <w:rPr>
          <w:rFonts w:ascii="Times New Roman" w:hAnsi="Times New Roman" w:cs="Times New Roman"/>
          <w:sz w:val="26"/>
          <w:szCs w:val="26"/>
        </w:rPr>
        <w:t xml:space="preserve"> of (</w:t>
      </w:r>
      <w:r w:rsidR="00096BEB" w:rsidRPr="00D8347A">
        <w:rPr>
          <w:rFonts w:ascii="Times New Roman" w:hAnsi="Times New Roman" w:cs="Times New Roman"/>
          <w:iCs/>
          <w:sz w:val="26"/>
          <w:szCs w:val="26"/>
        </w:rPr>
        <w:t xml:space="preserve">describe use, </w:t>
      </w:r>
      <w:r w:rsidR="00096BEB" w:rsidRPr="00D8347A">
        <w:rPr>
          <w:rFonts w:ascii="Times New Roman" w:hAnsi="Times New Roman" w:cs="Times New Roman"/>
          <w:iCs/>
          <w:sz w:val="26"/>
          <w:szCs w:val="26"/>
          <w:u w:val="single"/>
        </w:rPr>
        <w:t xml:space="preserve">e.g., transmitting </w:t>
      </w:r>
      <w:r w:rsidR="00096BEB" w:rsidRPr="00D8347A">
        <w:rPr>
          <w:rFonts w:ascii="Times New Roman" w:hAnsi="Times New Roman" w:cs="Times New Roman"/>
          <w:sz w:val="26"/>
          <w:szCs w:val="26"/>
          <w:u w:val="single"/>
        </w:rPr>
        <w:t>power or electric current</w:t>
      </w:r>
      <w:r w:rsidR="00096BEB" w:rsidRPr="00D8347A">
        <w:rPr>
          <w:rFonts w:ascii="Times New Roman" w:hAnsi="Times New Roman" w:cs="Times New Roman"/>
          <w:sz w:val="26"/>
          <w:szCs w:val="26"/>
        </w:rPr>
        <w:t>)</w:t>
      </w:r>
      <w:r w:rsidRPr="00D8347A">
        <w:rPr>
          <w:rFonts w:ascii="Times New Roman" w:hAnsi="Times New Roman" w:cs="Times New Roman"/>
          <w:sz w:val="26"/>
          <w:szCs w:val="26"/>
        </w:rPr>
        <w:t xml:space="preserve"> </w:t>
      </w:r>
      <w:r w:rsidR="00070F4A" w:rsidRPr="00D8347A">
        <w:rPr>
          <w:rFonts w:ascii="Times New Roman" w:hAnsi="Times New Roman" w:cs="Times New Roman"/>
          <w:sz w:val="26"/>
          <w:szCs w:val="26"/>
        </w:rPr>
        <w:t xml:space="preserve">in </w:t>
      </w:r>
      <w:r w:rsidR="00B6327D" w:rsidRPr="00D8347A">
        <w:rPr>
          <w:rFonts w:ascii="Times New Roman" w:hAnsi="Times New Roman" w:cs="Times New Roman"/>
          <w:sz w:val="26"/>
          <w:szCs w:val="26"/>
        </w:rPr>
        <w:t>real estate</w:t>
      </w:r>
      <w:r w:rsidR="00070F4A" w:rsidRPr="00D8347A">
        <w:rPr>
          <w:rFonts w:ascii="Times New Roman" w:hAnsi="Times New Roman" w:cs="Times New Roman"/>
          <w:sz w:val="26"/>
          <w:szCs w:val="26"/>
        </w:rPr>
        <w:t xml:space="preserve"> of another</w:t>
      </w:r>
      <w:r w:rsidR="00C86CD6" w:rsidRPr="00D8347A">
        <w:rPr>
          <w:rFonts w:ascii="Times New Roman" w:hAnsi="Times New Roman" w:cs="Times New Roman"/>
          <w:sz w:val="26"/>
          <w:szCs w:val="26"/>
          <w:vertAlign w:val="superscript"/>
        </w:rPr>
        <w:t>1</w:t>
      </w:r>
      <w:r w:rsidR="00FB4A98" w:rsidRPr="00D8347A">
        <w:rPr>
          <w:rFonts w:ascii="Times New Roman" w:hAnsi="Times New Roman" w:cs="Times New Roman"/>
          <w:sz w:val="26"/>
          <w:szCs w:val="26"/>
        </w:rPr>
        <w:t xml:space="preserve">; which was visible, open, and notorious; for </w:t>
      </w:r>
      <w:r w:rsidR="000E1D9D" w:rsidRPr="00D8347A">
        <w:rPr>
          <w:rFonts w:ascii="Times New Roman" w:hAnsi="Times New Roman" w:cs="Times New Roman"/>
          <w:sz w:val="26"/>
          <w:szCs w:val="26"/>
        </w:rPr>
        <w:t>ten</w:t>
      </w:r>
      <w:r w:rsidR="00FB4A98" w:rsidRPr="00D8347A">
        <w:rPr>
          <w:rFonts w:ascii="Times New Roman" w:hAnsi="Times New Roman" w:cs="Times New Roman"/>
          <w:sz w:val="26"/>
          <w:szCs w:val="26"/>
        </w:rPr>
        <w:t xml:space="preserve"> years</w:t>
      </w:r>
      <w:r w:rsidR="00C86CD6" w:rsidRPr="00D8347A">
        <w:rPr>
          <w:rFonts w:ascii="Times New Roman" w:hAnsi="Times New Roman" w:cs="Times New Roman"/>
          <w:sz w:val="26"/>
          <w:szCs w:val="26"/>
          <w:vertAlign w:val="superscript"/>
        </w:rPr>
        <w:t>2</w:t>
      </w:r>
      <w:r w:rsidR="00FB4A98" w:rsidRPr="00D8347A">
        <w:rPr>
          <w:rFonts w:ascii="Times New Roman" w:hAnsi="Times New Roman" w:cs="Times New Roman"/>
          <w:sz w:val="26"/>
          <w:szCs w:val="26"/>
        </w:rPr>
        <w:t xml:space="preserve">. </w:t>
      </w:r>
    </w:p>
    <w:p w14:paraId="0D572E9B" w14:textId="77777777" w:rsidR="00FB4A98" w:rsidRPr="00D8347A" w:rsidRDefault="00FB4A98" w:rsidP="00FB4A98">
      <w:pPr>
        <w:pStyle w:val="NoSpacing"/>
        <w:spacing w:line="480" w:lineRule="auto"/>
        <w:ind w:firstLine="450"/>
        <w:jc w:val="both"/>
        <w:rPr>
          <w:rFonts w:ascii="Times New Roman" w:hAnsi="Times New Roman" w:cs="Times New Roman"/>
          <w:sz w:val="26"/>
          <w:szCs w:val="26"/>
          <w:vertAlign w:val="superscript"/>
        </w:rPr>
      </w:pPr>
      <w:r w:rsidRPr="00D8347A">
        <w:rPr>
          <w:rFonts w:ascii="Times New Roman" w:hAnsi="Times New Roman" w:cs="Times New Roman"/>
          <w:sz w:val="26"/>
          <w:szCs w:val="26"/>
        </w:rPr>
        <w:t>[A continuous use is one that is neither voluntarily abandoned by the party claiming a prescriptive right nor interrupted by an act of the landowner or a third party.]</w:t>
      </w:r>
      <w:r w:rsidRPr="00D8347A">
        <w:rPr>
          <w:rFonts w:ascii="Times New Roman" w:hAnsi="Times New Roman" w:cs="Times New Roman"/>
          <w:sz w:val="26"/>
          <w:szCs w:val="26"/>
          <w:vertAlign w:val="superscript"/>
        </w:rPr>
        <w:t>3</w:t>
      </w:r>
    </w:p>
    <w:p w14:paraId="64A3A07C" w14:textId="77777777" w:rsidR="00FB4A98" w:rsidRPr="00D8347A" w:rsidRDefault="00FB4A98" w:rsidP="00FB4A98">
      <w:pPr>
        <w:pStyle w:val="NoSpacing"/>
        <w:spacing w:line="480" w:lineRule="auto"/>
        <w:ind w:firstLine="450"/>
        <w:jc w:val="both"/>
        <w:rPr>
          <w:rFonts w:ascii="Times New Roman" w:hAnsi="Times New Roman" w:cs="Times New Roman"/>
          <w:sz w:val="26"/>
          <w:szCs w:val="26"/>
        </w:rPr>
      </w:pPr>
      <w:r w:rsidRPr="00D8347A">
        <w:rPr>
          <w:rFonts w:ascii="Times New Roman" w:hAnsi="Times New Roman" w:cs="Times New Roman"/>
          <w:sz w:val="26"/>
          <w:szCs w:val="26"/>
        </w:rPr>
        <w:t>[A visible, open, and notorious use is one that would put a reasonably diligent landowner on notice of the use.]</w:t>
      </w:r>
      <w:r w:rsidRPr="00D8347A">
        <w:rPr>
          <w:rFonts w:ascii="Times New Roman" w:hAnsi="Times New Roman" w:cs="Times New Roman"/>
          <w:sz w:val="26"/>
          <w:szCs w:val="26"/>
          <w:vertAlign w:val="superscript"/>
        </w:rPr>
        <w:t>4</w:t>
      </w:r>
    </w:p>
    <w:p w14:paraId="7450AD61" w14:textId="77777777" w:rsidR="0075329B" w:rsidRPr="00D8347A" w:rsidRDefault="007A213A" w:rsidP="00D557A2">
      <w:pPr>
        <w:pStyle w:val="NoSpacing"/>
        <w:spacing w:line="480" w:lineRule="auto"/>
        <w:ind w:firstLine="450"/>
        <w:jc w:val="both"/>
      </w:pPr>
      <w:r w:rsidRPr="00D8347A">
        <w:rPr>
          <w:rFonts w:ascii="Times New Roman" w:hAnsi="Times New Roman" w:cs="Times New Roman"/>
          <w:b/>
          <w:sz w:val="26"/>
          <w:szCs w:val="26"/>
        </w:rPr>
        <w:t>[Note: The following paragraph should be given where the use claimed to be continuous is seasonal in nature</w:t>
      </w:r>
      <w:r w:rsidRPr="00D8347A">
        <w:rPr>
          <w:rFonts w:ascii="Times New Roman" w:hAnsi="Times New Roman" w:cs="Times New Roman"/>
          <w:sz w:val="26"/>
          <w:szCs w:val="26"/>
        </w:rPr>
        <w:t>: Where the use is seasonal in character, the requirement of continuity is satisfied by the use of the real estate according to the existing seasonal uses, needs, requirements, and limitations, taking into consideration the location and the adaptability of the real estate for the seasonal use.</w:t>
      </w:r>
      <w:r w:rsidRPr="00D8347A">
        <w:rPr>
          <w:rFonts w:ascii="Times New Roman" w:hAnsi="Times New Roman" w:cs="Times New Roman"/>
          <w:b/>
          <w:sz w:val="26"/>
          <w:szCs w:val="26"/>
        </w:rPr>
        <w:t>]</w:t>
      </w:r>
      <w:r w:rsidR="0075329B" w:rsidRPr="00D8347A">
        <w:t xml:space="preserve"> </w:t>
      </w:r>
    </w:p>
    <w:p w14:paraId="56185780" w14:textId="77777777" w:rsidR="007A213A" w:rsidRPr="00D8347A" w:rsidRDefault="00890CDB" w:rsidP="00D557A2">
      <w:pPr>
        <w:pStyle w:val="NoSpacing"/>
        <w:spacing w:line="480" w:lineRule="auto"/>
        <w:ind w:firstLine="450"/>
        <w:jc w:val="both"/>
        <w:rPr>
          <w:rFonts w:ascii="Times New Roman" w:hAnsi="Times New Roman" w:cs="Times New Roman"/>
          <w:sz w:val="26"/>
          <w:szCs w:val="26"/>
        </w:rPr>
      </w:pPr>
      <w:r w:rsidRPr="00D8347A">
        <w:rPr>
          <w:rFonts w:ascii="Times New Roman" w:hAnsi="Times New Roman" w:cs="Times New Roman"/>
          <w:sz w:val="26"/>
          <w:szCs w:val="26"/>
        </w:rPr>
        <w:t>(</w:t>
      </w:r>
      <w:r w:rsidRPr="00D8347A">
        <w:rPr>
          <w:rFonts w:ascii="Times New Roman" w:hAnsi="Times New Roman" w:cs="Times New Roman"/>
          <w:sz w:val="26"/>
          <w:szCs w:val="26"/>
          <w:u w:val="single"/>
        </w:rPr>
        <w:t>Title holder</w:t>
      </w:r>
      <w:r w:rsidRPr="00D8347A">
        <w:rPr>
          <w:rFonts w:ascii="Times New Roman" w:hAnsi="Times New Roman" w:cs="Times New Roman"/>
          <w:sz w:val="26"/>
          <w:szCs w:val="26"/>
        </w:rPr>
        <w:t xml:space="preserve">) is presumed to be in possession </w:t>
      </w:r>
      <w:r w:rsidR="0075329B" w:rsidRPr="00D8347A">
        <w:rPr>
          <w:rFonts w:ascii="Times New Roman" w:hAnsi="Times New Roman" w:cs="Times New Roman"/>
          <w:sz w:val="26"/>
          <w:szCs w:val="26"/>
        </w:rPr>
        <w:t>of the real property</w:t>
      </w:r>
      <w:r w:rsidR="00B6327D" w:rsidRPr="00D8347A">
        <w:rPr>
          <w:rFonts w:ascii="Times New Roman" w:hAnsi="Times New Roman" w:cs="Times New Roman"/>
          <w:sz w:val="26"/>
          <w:szCs w:val="26"/>
        </w:rPr>
        <w:t xml:space="preserve"> </w:t>
      </w:r>
      <w:r w:rsidRPr="00D8347A">
        <w:rPr>
          <w:rFonts w:ascii="Times New Roman" w:hAnsi="Times New Roman" w:cs="Times New Roman"/>
          <w:sz w:val="26"/>
          <w:szCs w:val="26"/>
        </w:rPr>
        <w:t xml:space="preserve">claimed by </w:t>
      </w:r>
      <w:r w:rsidR="00B6327D" w:rsidRPr="00D8347A">
        <w:rPr>
          <w:rFonts w:ascii="Times New Roman" w:hAnsi="Times New Roman" w:cs="Times New Roman"/>
          <w:sz w:val="26"/>
          <w:szCs w:val="26"/>
        </w:rPr>
        <w:t>(</w:t>
      </w:r>
      <w:r w:rsidR="00B6327D" w:rsidRPr="00D8347A">
        <w:rPr>
          <w:rFonts w:ascii="Times New Roman" w:hAnsi="Times New Roman" w:cs="Times New Roman"/>
          <w:sz w:val="26"/>
          <w:szCs w:val="26"/>
          <w:u w:val="single"/>
        </w:rPr>
        <w:t>prescriptive easement user</w:t>
      </w:r>
      <w:r w:rsidR="00B6327D" w:rsidRPr="00D8347A">
        <w:rPr>
          <w:rFonts w:ascii="Times New Roman" w:hAnsi="Times New Roman" w:cs="Times New Roman"/>
          <w:sz w:val="26"/>
          <w:szCs w:val="26"/>
        </w:rPr>
        <w:t>)</w:t>
      </w:r>
      <w:r w:rsidRPr="00D8347A">
        <w:rPr>
          <w:rFonts w:ascii="Times New Roman" w:hAnsi="Times New Roman" w:cs="Times New Roman"/>
          <w:sz w:val="26"/>
          <w:szCs w:val="26"/>
        </w:rPr>
        <w:t xml:space="preserve">. Therefore, the burden is on </w:t>
      </w:r>
      <w:r w:rsidR="00B6327D" w:rsidRPr="00D8347A">
        <w:rPr>
          <w:rFonts w:ascii="Times New Roman" w:hAnsi="Times New Roman" w:cs="Times New Roman"/>
          <w:sz w:val="26"/>
          <w:szCs w:val="26"/>
        </w:rPr>
        <w:t>(</w:t>
      </w:r>
      <w:r w:rsidR="00B6327D" w:rsidRPr="00D8347A">
        <w:rPr>
          <w:rFonts w:ascii="Times New Roman" w:hAnsi="Times New Roman" w:cs="Times New Roman"/>
          <w:sz w:val="26"/>
          <w:szCs w:val="26"/>
          <w:u w:val="single"/>
        </w:rPr>
        <w:t>prescriptive easement user</w:t>
      </w:r>
      <w:r w:rsidR="00B6327D" w:rsidRPr="00D8347A">
        <w:rPr>
          <w:rFonts w:ascii="Times New Roman" w:hAnsi="Times New Roman" w:cs="Times New Roman"/>
          <w:sz w:val="26"/>
          <w:szCs w:val="26"/>
        </w:rPr>
        <w:t>) to establish its</w:t>
      </w:r>
      <w:r w:rsidRPr="00D8347A">
        <w:rPr>
          <w:rFonts w:ascii="Times New Roman" w:hAnsi="Times New Roman" w:cs="Times New Roman"/>
          <w:sz w:val="26"/>
          <w:szCs w:val="26"/>
        </w:rPr>
        <w:t xml:space="preserve"> claim.</w:t>
      </w:r>
      <w:r w:rsidR="00B6327D" w:rsidRPr="00D8347A">
        <w:rPr>
          <w:rFonts w:ascii="Times New Roman" w:hAnsi="Times New Roman" w:cs="Times New Roman"/>
          <w:sz w:val="26"/>
          <w:szCs w:val="26"/>
        </w:rPr>
        <w:t xml:space="preserve"> </w:t>
      </w:r>
      <w:r w:rsidR="00D557A2" w:rsidRPr="00D8347A">
        <w:rPr>
          <w:rFonts w:ascii="Times New Roman" w:hAnsi="Times New Roman" w:cs="Times New Roman"/>
          <w:sz w:val="26"/>
          <w:szCs w:val="26"/>
        </w:rPr>
        <w:t>Finally, (</w:t>
      </w:r>
      <w:r w:rsidR="00D557A2" w:rsidRPr="00D8347A">
        <w:rPr>
          <w:rFonts w:ascii="Times New Roman" w:hAnsi="Times New Roman" w:cs="Times New Roman"/>
          <w:sz w:val="26"/>
          <w:szCs w:val="26"/>
          <w:u w:val="single"/>
        </w:rPr>
        <w:t>prescriptive easement user</w:t>
      </w:r>
      <w:r w:rsidR="00D557A2" w:rsidRPr="00D8347A">
        <w:rPr>
          <w:rFonts w:ascii="Times New Roman" w:hAnsi="Times New Roman" w:cs="Times New Roman"/>
          <w:sz w:val="26"/>
          <w:szCs w:val="26"/>
        </w:rPr>
        <w:t xml:space="preserve">) </w:t>
      </w:r>
      <w:r w:rsidRPr="00D8347A">
        <w:rPr>
          <w:rFonts w:ascii="Times New Roman" w:hAnsi="Times New Roman" w:cs="Times New Roman"/>
          <w:sz w:val="26"/>
          <w:szCs w:val="26"/>
        </w:rPr>
        <w:t xml:space="preserve">has the burden of proof to </w:t>
      </w:r>
      <w:r w:rsidR="00D557A2" w:rsidRPr="00D8347A">
        <w:rPr>
          <w:rFonts w:ascii="Times New Roman" w:hAnsi="Times New Roman" w:cs="Times New Roman"/>
          <w:sz w:val="26"/>
          <w:szCs w:val="26"/>
        </w:rPr>
        <w:t xml:space="preserve">clearly </w:t>
      </w:r>
      <w:r w:rsidR="00D557A2" w:rsidRPr="00D8347A">
        <w:rPr>
          <w:rFonts w:ascii="Times New Roman" w:hAnsi="Times New Roman" w:cs="Times New Roman"/>
          <w:sz w:val="26"/>
          <w:szCs w:val="26"/>
        </w:rPr>
        <w:lastRenderedPageBreak/>
        <w:t xml:space="preserve">define the area of land over which it has continuously asserted use of rights for ten years. </w:t>
      </w:r>
      <w:r w:rsidRPr="00D8347A">
        <w:rPr>
          <w:rFonts w:ascii="Times New Roman" w:hAnsi="Times New Roman" w:cs="Times New Roman"/>
          <w:sz w:val="26"/>
          <w:szCs w:val="26"/>
        </w:rPr>
        <w:t>While absolute precision or utilization of a surveyor is</w:t>
      </w:r>
      <w:r w:rsidR="00D557A2" w:rsidRPr="00D8347A">
        <w:rPr>
          <w:rFonts w:ascii="Times New Roman" w:hAnsi="Times New Roman" w:cs="Times New Roman"/>
          <w:sz w:val="26"/>
          <w:szCs w:val="26"/>
        </w:rPr>
        <w:t xml:space="preserve"> </w:t>
      </w:r>
      <w:r w:rsidRPr="00D8347A">
        <w:rPr>
          <w:rFonts w:ascii="Times New Roman" w:hAnsi="Times New Roman" w:cs="Times New Roman"/>
          <w:sz w:val="26"/>
          <w:szCs w:val="26"/>
        </w:rPr>
        <w:t>not required to establish lines of occupancy, the evi</w:t>
      </w:r>
      <w:r w:rsidR="00D557A2" w:rsidRPr="00D8347A">
        <w:rPr>
          <w:rFonts w:ascii="Times New Roman" w:hAnsi="Times New Roman" w:cs="Times New Roman"/>
          <w:sz w:val="26"/>
          <w:szCs w:val="26"/>
        </w:rPr>
        <w:t xml:space="preserve">dence must provide a reasonably </w:t>
      </w:r>
      <w:r w:rsidRPr="00D8347A">
        <w:rPr>
          <w:rFonts w:ascii="Times New Roman" w:hAnsi="Times New Roman" w:cs="Times New Roman"/>
          <w:sz w:val="26"/>
          <w:szCs w:val="26"/>
        </w:rPr>
        <w:t>accurate basis upon which to de</w:t>
      </w:r>
      <w:r w:rsidR="00D557A2" w:rsidRPr="00D8347A">
        <w:rPr>
          <w:rFonts w:ascii="Times New Roman" w:hAnsi="Times New Roman" w:cs="Times New Roman"/>
          <w:sz w:val="26"/>
          <w:szCs w:val="26"/>
        </w:rPr>
        <w:t>termine the boundary of the proscriptive easement</w:t>
      </w:r>
      <w:r w:rsidRPr="00D8347A">
        <w:rPr>
          <w:rFonts w:ascii="Times New Roman" w:hAnsi="Times New Roman" w:cs="Times New Roman"/>
          <w:sz w:val="26"/>
          <w:szCs w:val="26"/>
        </w:rPr>
        <w:t>.</w:t>
      </w:r>
    </w:p>
    <w:p w14:paraId="7EE1ADAD" w14:textId="77777777" w:rsidR="00890CDB" w:rsidRPr="00D8347A" w:rsidRDefault="00890CDB" w:rsidP="007A213A">
      <w:pPr>
        <w:pStyle w:val="NoSpacing"/>
        <w:spacing w:line="480" w:lineRule="auto"/>
        <w:ind w:firstLine="450"/>
        <w:jc w:val="both"/>
        <w:rPr>
          <w:rFonts w:ascii="Times New Roman" w:hAnsi="Times New Roman" w:cs="Times New Roman"/>
          <w:sz w:val="26"/>
          <w:szCs w:val="26"/>
        </w:rPr>
      </w:pPr>
    </w:p>
    <w:p w14:paraId="32D0C06E" w14:textId="77777777" w:rsidR="00FB4A98" w:rsidRPr="00D8347A" w:rsidRDefault="007A213A" w:rsidP="00FB4A98">
      <w:pPr>
        <w:pStyle w:val="NoSpacing"/>
        <w:spacing w:line="480" w:lineRule="auto"/>
        <w:ind w:firstLine="450"/>
        <w:jc w:val="both"/>
        <w:rPr>
          <w:rFonts w:ascii="Times New Roman" w:hAnsi="Times New Roman" w:cs="Times New Roman"/>
          <w:sz w:val="26"/>
          <w:szCs w:val="26"/>
          <w:shd w:val="clear" w:color="auto" w:fill="FFFFFF"/>
        </w:rPr>
      </w:pPr>
      <w:r w:rsidRPr="00D8347A">
        <w:rPr>
          <w:rFonts w:ascii="Times New Roman" w:eastAsia="Times New Roman" w:hAnsi="Times New Roman" w:cs="Times New Roman"/>
          <w:sz w:val="26"/>
          <w:szCs w:val="26"/>
        </w:rPr>
        <w:t xml:space="preserve"> </w:t>
      </w:r>
      <w:r w:rsidR="00FB4A98" w:rsidRPr="00D8347A">
        <w:rPr>
          <w:rFonts w:ascii="Times New Roman" w:eastAsia="Times New Roman" w:hAnsi="Times New Roman" w:cs="Times New Roman"/>
          <w:sz w:val="26"/>
          <w:szCs w:val="26"/>
        </w:rPr>
        <w:t>[Burden of Proof, Wis JI-Civil 200]</w:t>
      </w:r>
    </w:p>
    <w:p w14:paraId="0D731C19" w14:textId="77777777" w:rsidR="00FB4A98" w:rsidRPr="00D8347A" w:rsidRDefault="00FB4A98" w:rsidP="00FB4A98">
      <w:pPr>
        <w:pStyle w:val="NoSpacing"/>
        <w:spacing w:line="480" w:lineRule="auto"/>
        <w:ind w:firstLine="450"/>
        <w:jc w:val="both"/>
        <w:rPr>
          <w:rFonts w:ascii="Times New Roman" w:hAnsi="Times New Roman" w:cs="Times New Roman"/>
          <w:sz w:val="26"/>
          <w:szCs w:val="26"/>
        </w:rPr>
      </w:pPr>
    </w:p>
    <w:p w14:paraId="1409A049" w14:textId="77777777" w:rsidR="00731C28" w:rsidRPr="00D8347A" w:rsidRDefault="00731C28" w:rsidP="00323B19">
      <w:pPr>
        <w:pStyle w:val="NoSpacing"/>
        <w:jc w:val="both"/>
        <w:rPr>
          <w:rFonts w:ascii="Times New Roman" w:hAnsi="Times New Roman" w:cs="Times New Roman"/>
          <w:b/>
        </w:rPr>
      </w:pPr>
      <w:r w:rsidRPr="00D8347A">
        <w:rPr>
          <w:rFonts w:ascii="Times New Roman" w:hAnsi="Times New Roman" w:cs="Times New Roman"/>
          <w:b/>
        </w:rPr>
        <w:t>NOTES</w:t>
      </w:r>
    </w:p>
    <w:p w14:paraId="5056C2A5" w14:textId="77777777" w:rsidR="00731C28" w:rsidRPr="00D8347A" w:rsidRDefault="00731C28" w:rsidP="00323B19">
      <w:pPr>
        <w:pStyle w:val="NoSpacing"/>
        <w:jc w:val="both"/>
        <w:rPr>
          <w:rFonts w:ascii="Times New Roman" w:hAnsi="Times New Roman" w:cs="Times New Roman"/>
          <w:b/>
        </w:rPr>
      </w:pPr>
    </w:p>
    <w:p w14:paraId="2B7621A3" w14:textId="77777777" w:rsidR="00731C28" w:rsidRPr="00D8347A" w:rsidRDefault="00731C28" w:rsidP="00731C28">
      <w:pPr>
        <w:numPr>
          <w:ilvl w:val="0"/>
          <w:numId w:val="1"/>
        </w:numPr>
        <w:tabs>
          <w:tab w:val="left" w:pos="900"/>
        </w:tabs>
        <w:spacing w:after="0" w:line="240" w:lineRule="auto"/>
        <w:ind w:left="0" w:firstLine="450"/>
        <w:jc w:val="both"/>
        <w:rPr>
          <w:rFonts w:ascii="Times New Roman" w:hAnsi="Times New Roman" w:cs="Times New Roman"/>
        </w:rPr>
      </w:pPr>
      <w:r w:rsidRPr="00D8347A">
        <w:rPr>
          <w:rFonts w:ascii="Times New Roman" w:hAnsi="Times New Roman" w:cs="Times New Roman"/>
        </w:rPr>
        <w:t xml:space="preserve">As sub. (1) is written, it is more natural to read “of another” to modify “real estate,” rather than “rights.” That is, by continuous use, one may gain a prescriptive right in another’s real estate. The real estate in which a right is gained must belong to another person. </w:t>
      </w:r>
      <w:r w:rsidRPr="00D8347A">
        <w:rPr>
          <w:rFonts w:ascii="Times New Roman" w:hAnsi="Times New Roman" w:cs="Times New Roman"/>
          <w:u w:val="single"/>
        </w:rPr>
        <w:t>Hall v. Liebovich Living Trust</w:t>
      </w:r>
      <w:r w:rsidRPr="00D8347A">
        <w:rPr>
          <w:rFonts w:ascii="Times New Roman" w:hAnsi="Times New Roman" w:cs="Times New Roman"/>
        </w:rPr>
        <w:t>, </w:t>
      </w:r>
      <w:hyperlink r:id="rId8" w:tooltip="Courts 2007 WI App 112" w:history="1">
        <w:r w:rsidRPr="00D8347A">
          <w:rPr>
            <w:rFonts w:ascii="Times New Roman" w:hAnsi="Times New Roman" w:cs="Times New Roman"/>
          </w:rPr>
          <w:t>2007 WI App 112</w:t>
        </w:r>
      </w:hyperlink>
      <w:r w:rsidRPr="00D8347A">
        <w:rPr>
          <w:rFonts w:ascii="Times New Roman" w:hAnsi="Times New Roman" w:cs="Times New Roman"/>
        </w:rPr>
        <w:t>, </w:t>
      </w:r>
      <w:hyperlink r:id="rId9" w:tooltip="Courts 300 Wis. 2d 725" w:history="1">
        <w:r w:rsidRPr="00D8347A">
          <w:rPr>
            <w:rFonts w:ascii="Times New Roman" w:hAnsi="Times New Roman" w:cs="Times New Roman"/>
          </w:rPr>
          <w:t>300 Wis. 2d 725</w:t>
        </w:r>
      </w:hyperlink>
      <w:r w:rsidRPr="00D8347A">
        <w:rPr>
          <w:rFonts w:ascii="Times New Roman" w:hAnsi="Times New Roman" w:cs="Times New Roman"/>
        </w:rPr>
        <w:t>, </w:t>
      </w:r>
      <w:hyperlink r:id="rId10" w:tooltip="Courts 731 N.W.2d 649" w:history="1">
        <w:r w:rsidRPr="00D8347A">
          <w:rPr>
            <w:rFonts w:ascii="Times New Roman" w:hAnsi="Times New Roman" w:cs="Times New Roman"/>
          </w:rPr>
          <w:t>731 N.W.2d 649</w:t>
        </w:r>
      </w:hyperlink>
      <w:r w:rsidRPr="00D8347A">
        <w:rPr>
          <w:rFonts w:ascii="Times New Roman" w:hAnsi="Times New Roman" w:cs="Times New Roman"/>
        </w:rPr>
        <w:t>, </w:t>
      </w:r>
      <w:hyperlink r:id="rId11" w:tooltip="Wis. Court of Appeals Cases 06-0040" w:history="1">
        <w:r w:rsidRPr="00D8347A">
          <w:rPr>
            <w:rFonts w:ascii="Times New Roman" w:hAnsi="Times New Roman" w:cs="Times New Roman"/>
          </w:rPr>
          <w:t>06-0040</w:t>
        </w:r>
      </w:hyperlink>
      <w:r w:rsidRPr="00D8347A">
        <w:rPr>
          <w:rFonts w:ascii="Times New Roman" w:hAnsi="Times New Roman" w:cs="Times New Roman"/>
        </w:rPr>
        <w:t>.</w:t>
      </w:r>
    </w:p>
    <w:p w14:paraId="6DF5410E" w14:textId="77777777" w:rsidR="00731C28" w:rsidRPr="00D8347A" w:rsidRDefault="00731C28" w:rsidP="00731C28">
      <w:pPr>
        <w:tabs>
          <w:tab w:val="left" w:pos="900"/>
        </w:tabs>
        <w:spacing w:after="0" w:line="240" w:lineRule="auto"/>
        <w:ind w:left="450"/>
        <w:jc w:val="both"/>
        <w:rPr>
          <w:rFonts w:ascii="Times New Roman" w:hAnsi="Times New Roman" w:cs="Times New Roman"/>
        </w:rPr>
      </w:pPr>
    </w:p>
    <w:p w14:paraId="40208D05" w14:textId="4E201E63" w:rsidR="00731C28" w:rsidRPr="00D8347A" w:rsidRDefault="00731C28" w:rsidP="00563C9C">
      <w:pPr>
        <w:numPr>
          <w:ilvl w:val="0"/>
          <w:numId w:val="1"/>
        </w:numPr>
        <w:tabs>
          <w:tab w:val="left" w:pos="900"/>
        </w:tabs>
        <w:spacing w:after="0" w:line="240" w:lineRule="auto"/>
        <w:ind w:left="0" w:firstLine="450"/>
        <w:jc w:val="both"/>
        <w:rPr>
          <w:rFonts w:ascii="Times New Roman" w:hAnsi="Times New Roman" w:cs="Times New Roman"/>
        </w:rPr>
      </w:pPr>
      <w:r w:rsidRPr="00D8347A">
        <w:rPr>
          <w:rFonts w:ascii="Times New Roman" w:hAnsi="Times New Roman" w:cs="Times New Roman"/>
        </w:rPr>
        <w:t>Except as provided by Wis. Stat. § 893.29.</w:t>
      </w:r>
    </w:p>
    <w:p w14:paraId="413A9F18" w14:textId="608CDF28" w:rsidR="00563C9C" w:rsidRPr="00D8347A" w:rsidRDefault="00563C9C" w:rsidP="00563C9C">
      <w:pPr>
        <w:tabs>
          <w:tab w:val="left" w:pos="900"/>
        </w:tabs>
        <w:spacing w:after="0" w:line="240" w:lineRule="auto"/>
        <w:jc w:val="both"/>
        <w:rPr>
          <w:rFonts w:ascii="Times New Roman" w:hAnsi="Times New Roman" w:cs="Times New Roman"/>
        </w:rPr>
      </w:pPr>
    </w:p>
    <w:p w14:paraId="3BCED401" w14:textId="77777777" w:rsidR="00731C28" w:rsidRPr="00D8347A" w:rsidRDefault="00731C28" w:rsidP="00731C28">
      <w:pPr>
        <w:pStyle w:val="ListParagraph"/>
        <w:numPr>
          <w:ilvl w:val="0"/>
          <w:numId w:val="1"/>
        </w:numPr>
        <w:tabs>
          <w:tab w:val="left" w:pos="900"/>
        </w:tabs>
        <w:ind w:left="0" w:firstLine="450"/>
        <w:rPr>
          <w:rFonts w:ascii="Times New Roman" w:hAnsi="Times New Roman" w:cs="Times New Roman"/>
        </w:rPr>
      </w:pPr>
      <w:r w:rsidRPr="00D8347A">
        <w:rPr>
          <w:rFonts w:ascii="Times New Roman" w:hAnsi="Times New Roman" w:cs="Times New Roman"/>
        </w:rPr>
        <w:t xml:space="preserve">See </w:t>
      </w:r>
      <w:r w:rsidRPr="00D8347A">
        <w:rPr>
          <w:rFonts w:ascii="Times New Roman" w:hAnsi="Times New Roman" w:cs="Times New Roman"/>
          <w:u w:val="single"/>
        </w:rPr>
        <w:t>Red Star Yeast &amp; Prods. Co. v. Merch. Corp.</w:t>
      </w:r>
      <w:r w:rsidRPr="00D8347A">
        <w:rPr>
          <w:rFonts w:ascii="Times New Roman" w:hAnsi="Times New Roman" w:cs="Times New Roman"/>
        </w:rPr>
        <w:t>, 4 Wis. 2d 327, 335, 90 N.W.2d 777 (1958); see also 25 Am. Jur. 2d Easements and Licenses § 51.</w:t>
      </w:r>
    </w:p>
    <w:p w14:paraId="08A80661" w14:textId="77777777" w:rsidR="00731C28" w:rsidRPr="00D8347A" w:rsidRDefault="00731C28" w:rsidP="00731C28">
      <w:pPr>
        <w:pStyle w:val="ListParagraph"/>
        <w:rPr>
          <w:rFonts w:ascii="Times New Roman" w:hAnsi="Times New Roman" w:cs="Times New Roman"/>
        </w:rPr>
      </w:pPr>
    </w:p>
    <w:p w14:paraId="31096CD0" w14:textId="77777777" w:rsidR="00731C28" w:rsidRPr="00D8347A" w:rsidRDefault="00731C28" w:rsidP="00731C28">
      <w:pPr>
        <w:pStyle w:val="ListParagraph"/>
        <w:numPr>
          <w:ilvl w:val="0"/>
          <w:numId w:val="1"/>
        </w:numPr>
        <w:tabs>
          <w:tab w:val="left" w:pos="900"/>
        </w:tabs>
        <w:ind w:left="0" w:firstLine="450"/>
        <w:rPr>
          <w:rFonts w:ascii="Times New Roman" w:hAnsi="Times New Roman" w:cs="Times New Roman"/>
        </w:rPr>
      </w:pPr>
      <w:r w:rsidRPr="00D8347A">
        <w:rPr>
          <w:rFonts w:ascii="Times New Roman" w:hAnsi="Times New Roman" w:cs="Times New Roman"/>
        </w:rPr>
        <w:t xml:space="preserve">See </w:t>
      </w:r>
      <w:r w:rsidRPr="00D8347A">
        <w:rPr>
          <w:rFonts w:ascii="Times New Roman" w:hAnsi="Times New Roman" w:cs="Times New Roman"/>
          <w:u w:val="single"/>
        </w:rPr>
        <w:t>Kurz v. Miller</w:t>
      </w:r>
      <w:r w:rsidRPr="00D8347A">
        <w:rPr>
          <w:rFonts w:ascii="Times New Roman" w:hAnsi="Times New Roman" w:cs="Times New Roman"/>
        </w:rPr>
        <w:t>, 89 Wis. 426, 433-34, 62 N.W. 182 (1895)</w:t>
      </w:r>
      <w:r w:rsidR="00C40C41" w:rsidRPr="00D8347A">
        <w:rPr>
          <w:rFonts w:ascii="Times New Roman" w:hAnsi="Times New Roman" w:cs="Times New Roman"/>
        </w:rPr>
        <w:t>.</w:t>
      </w:r>
    </w:p>
    <w:p w14:paraId="51A03C88" w14:textId="77777777" w:rsidR="00731C28" w:rsidRPr="00D8347A" w:rsidRDefault="00731C28" w:rsidP="00731C28">
      <w:pPr>
        <w:pStyle w:val="NoSpacing"/>
      </w:pPr>
    </w:p>
    <w:p w14:paraId="0B3F0680" w14:textId="77777777" w:rsidR="00FB4A98" w:rsidRPr="00D8347A" w:rsidRDefault="00731C28" w:rsidP="00731C28">
      <w:pPr>
        <w:pStyle w:val="NoSpacing"/>
        <w:rPr>
          <w:rFonts w:ascii="Times New Roman" w:hAnsi="Times New Roman" w:cs="Times New Roman"/>
          <w:b/>
        </w:rPr>
      </w:pPr>
      <w:r w:rsidRPr="00D8347A">
        <w:rPr>
          <w:rFonts w:ascii="Times New Roman" w:hAnsi="Times New Roman" w:cs="Times New Roman"/>
          <w:b/>
        </w:rPr>
        <w:t>COMMENTS</w:t>
      </w:r>
    </w:p>
    <w:p w14:paraId="0BE90EDB" w14:textId="77777777" w:rsidR="00323B19" w:rsidRPr="00D8347A" w:rsidRDefault="00323B19" w:rsidP="00731C28">
      <w:pPr>
        <w:pStyle w:val="NoSpacing"/>
        <w:rPr>
          <w:shd w:val="clear" w:color="auto" w:fill="FFFFFF"/>
        </w:rPr>
      </w:pPr>
    </w:p>
    <w:p w14:paraId="06EB9D70" w14:textId="2A8803E7" w:rsidR="00323B19" w:rsidRPr="00D8347A" w:rsidRDefault="00323B19" w:rsidP="00323B19">
      <w:pPr>
        <w:pStyle w:val="NoSpacing"/>
        <w:ind w:firstLine="450"/>
        <w:jc w:val="both"/>
        <w:rPr>
          <w:rFonts w:ascii="Times New Roman" w:hAnsi="Times New Roman" w:cs="Times New Roman"/>
        </w:rPr>
      </w:pPr>
      <w:r w:rsidRPr="00D8347A">
        <w:rPr>
          <w:rFonts w:ascii="Times New Roman" w:hAnsi="Times New Roman" w:cs="Times New Roman"/>
        </w:rPr>
        <w:t>This instruction and comment were approved b</w:t>
      </w:r>
      <w:r w:rsidR="00EA1F59" w:rsidRPr="00D8347A">
        <w:rPr>
          <w:rFonts w:ascii="Times New Roman" w:hAnsi="Times New Roman" w:cs="Times New Roman"/>
        </w:rPr>
        <w:t>y the Committee in October 2022</w:t>
      </w:r>
      <w:r w:rsidRPr="00D8347A">
        <w:rPr>
          <w:rFonts w:ascii="Times New Roman" w:hAnsi="Times New Roman" w:cs="Times New Roman"/>
        </w:rPr>
        <w:t xml:space="preserve">. </w:t>
      </w:r>
    </w:p>
    <w:p w14:paraId="180375CE" w14:textId="77777777" w:rsidR="006849E1" w:rsidRPr="00D8347A" w:rsidRDefault="006849E1" w:rsidP="006849E1">
      <w:pPr>
        <w:pStyle w:val="NoSpacing"/>
        <w:rPr>
          <w:rFonts w:ascii="Times New Roman" w:hAnsi="Times New Roman" w:cs="Times New Roman"/>
          <w:shd w:val="clear" w:color="auto" w:fill="FFFFFF"/>
        </w:rPr>
      </w:pPr>
    </w:p>
    <w:p w14:paraId="57CB2871" w14:textId="7E450D71" w:rsidR="006849E1" w:rsidRPr="00D8347A" w:rsidRDefault="009F0EEB" w:rsidP="006849E1">
      <w:pPr>
        <w:pStyle w:val="NoSpacing"/>
        <w:ind w:firstLine="450"/>
        <w:jc w:val="both"/>
        <w:rPr>
          <w:rFonts w:ascii="Times New Roman" w:hAnsi="Times New Roman" w:cs="Times New Roman"/>
        </w:rPr>
      </w:pPr>
      <w:r w:rsidRPr="00D8347A">
        <w:rPr>
          <w:rFonts w:ascii="Times New Roman" w:hAnsi="Times New Roman" w:cs="Times New Roman"/>
          <w:b/>
        </w:rPr>
        <w:t>Common law elements</w:t>
      </w:r>
      <w:r w:rsidRPr="00D8347A">
        <w:rPr>
          <w:rFonts w:ascii="Times New Roman" w:hAnsi="Times New Roman" w:cs="Times New Roman"/>
        </w:rPr>
        <w:t xml:space="preserve">. </w:t>
      </w:r>
      <w:r w:rsidR="006849E1" w:rsidRPr="00D8347A">
        <w:rPr>
          <w:rFonts w:ascii="Times New Roman" w:hAnsi="Times New Roman" w:cs="Times New Roman"/>
        </w:rPr>
        <w:t xml:space="preserve">At common law, a party acquired a prescriptive right in another’s real property upon: (1) an adverse use hostile and inconsistent with </w:t>
      </w:r>
      <w:r w:rsidR="00F510AF">
        <w:rPr>
          <w:rFonts w:ascii="Times New Roman" w:hAnsi="Times New Roman" w:cs="Times New Roman"/>
        </w:rPr>
        <w:t>the exercise of the titleholder’</w:t>
      </w:r>
      <w:bookmarkStart w:id="0" w:name="_GoBack"/>
      <w:bookmarkEnd w:id="0"/>
      <w:r w:rsidR="006849E1" w:rsidRPr="00D8347A">
        <w:rPr>
          <w:rFonts w:ascii="Times New Roman" w:hAnsi="Times New Roman" w:cs="Times New Roman"/>
        </w:rPr>
        <w:t xml:space="preserve">s rights; (2) which was visible, open, and notorious; (3) under an open claim of right; and (4) was continuous and uninterrupted for 20 years. </w:t>
      </w:r>
      <w:r w:rsidR="006849E1" w:rsidRPr="00D8347A">
        <w:rPr>
          <w:rFonts w:ascii="Times New Roman" w:hAnsi="Times New Roman" w:cs="Times New Roman"/>
          <w:u w:val="single"/>
        </w:rPr>
        <w:t>Ludke v. Egan</w:t>
      </w:r>
      <w:r w:rsidR="006849E1" w:rsidRPr="00D8347A">
        <w:rPr>
          <w:rFonts w:ascii="Times New Roman" w:hAnsi="Times New Roman" w:cs="Times New Roman"/>
        </w:rPr>
        <w:t xml:space="preserve">, 87 </w:t>
      </w:r>
      <w:r w:rsidR="006849E1" w:rsidRPr="00D8347A">
        <w:rPr>
          <w:rFonts w:ascii="Times New Roman" w:hAnsi="Times New Roman" w:cs="Times New Roman"/>
          <w:b/>
          <w:bCs/>
        </w:rPr>
        <w:t>Wis</w:t>
      </w:r>
      <w:r w:rsidR="006849E1" w:rsidRPr="00D8347A">
        <w:rPr>
          <w:rFonts w:ascii="Times New Roman" w:hAnsi="Times New Roman" w:cs="Times New Roman"/>
        </w:rPr>
        <w:t>. 2d 221, 230,274 N.W.2d 641 (1979).</w:t>
      </w:r>
    </w:p>
    <w:p w14:paraId="27DB5144" w14:textId="77777777" w:rsidR="009F0EEB" w:rsidRPr="00D8347A" w:rsidRDefault="009F0EEB" w:rsidP="006849E1">
      <w:pPr>
        <w:pStyle w:val="NoSpacing"/>
        <w:ind w:firstLine="450"/>
        <w:jc w:val="both"/>
        <w:rPr>
          <w:rFonts w:ascii="Times New Roman" w:hAnsi="Times New Roman" w:cs="Times New Roman"/>
        </w:rPr>
      </w:pPr>
    </w:p>
    <w:p w14:paraId="23C96BDB" w14:textId="5BD190E1" w:rsidR="009F0EEB" w:rsidRPr="00D8347A" w:rsidRDefault="009F0EEB" w:rsidP="00D02D09">
      <w:pPr>
        <w:pStyle w:val="NoSpacing"/>
        <w:ind w:firstLine="450"/>
        <w:jc w:val="both"/>
        <w:rPr>
          <w:rFonts w:ascii="Times New Roman" w:hAnsi="Times New Roman" w:cs="Times New Roman"/>
        </w:rPr>
      </w:pPr>
      <w:r w:rsidRPr="00D8347A">
        <w:rPr>
          <w:rFonts w:ascii="Times New Roman" w:hAnsi="Times New Roman" w:cs="Times New Roman"/>
          <w:b/>
        </w:rPr>
        <w:t>Statutory elements</w:t>
      </w:r>
      <w:r w:rsidRPr="00D8347A">
        <w:rPr>
          <w:rFonts w:ascii="Times New Roman" w:hAnsi="Times New Roman" w:cs="Times New Roman"/>
        </w:rPr>
        <w:t xml:space="preserve">. With respect to public utilities, the legislature replaced the common law with Wis. Stat. § 893.28(2). See § 28, ch. 323, Laws of 1979. Under § 893.28(2), a public utility “establishes the prescriptive right to continue </w:t>
      </w:r>
      <w:r w:rsidR="00BA60AB" w:rsidRPr="00D8347A">
        <w:rPr>
          <w:rFonts w:ascii="Times New Roman" w:hAnsi="Times New Roman" w:cs="Times New Roman"/>
        </w:rPr>
        <w:t>[its] use” of rights in another’</w:t>
      </w:r>
      <w:r w:rsidRPr="00D8347A">
        <w:rPr>
          <w:rFonts w:ascii="Times New Roman" w:hAnsi="Times New Roman" w:cs="Times New Roman"/>
        </w:rPr>
        <w:t>s real property upon “[c]ontinuous use of [those] rights ... for at least 10 years.”</w:t>
      </w:r>
      <w:r w:rsidR="00D02D09" w:rsidRPr="00D8347A">
        <w:rPr>
          <w:rFonts w:ascii="Times New Roman" w:hAnsi="Times New Roman" w:cs="Times New Roman"/>
        </w:rPr>
        <w:t xml:space="preserve"> Additionally, § 893.28(2) </w:t>
      </w:r>
      <w:r w:rsidRPr="00D8347A">
        <w:rPr>
          <w:rFonts w:ascii="Times New Roman" w:hAnsi="Times New Roman" w:cs="Times New Roman"/>
          <w:shd w:val="clear" w:color="auto" w:fill="FFFFFF"/>
        </w:rPr>
        <w:t xml:space="preserve">eliminated </w:t>
      </w:r>
      <w:r w:rsidR="00D02D09" w:rsidRPr="00D8347A">
        <w:rPr>
          <w:rFonts w:ascii="Times New Roman" w:hAnsi="Times New Roman" w:cs="Times New Roman"/>
          <w:shd w:val="clear" w:color="auto" w:fill="FFFFFF"/>
        </w:rPr>
        <w:t xml:space="preserve">the elements of </w:t>
      </w:r>
      <w:r w:rsidRPr="00D8347A">
        <w:rPr>
          <w:rFonts w:ascii="Times New Roman" w:hAnsi="Times New Roman" w:cs="Times New Roman"/>
          <w:shd w:val="clear" w:color="auto" w:fill="FFFFFF"/>
        </w:rPr>
        <w:t>adversity</w:t>
      </w:r>
      <w:r w:rsidR="00D02D09" w:rsidRPr="00D8347A">
        <w:rPr>
          <w:rFonts w:ascii="Times New Roman" w:hAnsi="Times New Roman" w:cs="Times New Roman"/>
          <w:shd w:val="clear" w:color="auto" w:fill="FFFFFF"/>
        </w:rPr>
        <w:t xml:space="preserve"> and claim of right as </w:t>
      </w:r>
      <w:r w:rsidRPr="00D8347A">
        <w:rPr>
          <w:rFonts w:ascii="Times New Roman" w:hAnsi="Times New Roman" w:cs="Times New Roman"/>
          <w:shd w:val="clear" w:color="auto" w:fill="FFFFFF"/>
        </w:rPr>
        <w:t>requirement</w:t>
      </w:r>
      <w:r w:rsidR="00D02D09" w:rsidRPr="00D8347A">
        <w:rPr>
          <w:rFonts w:ascii="Times New Roman" w:hAnsi="Times New Roman" w:cs="Times New Roman"/>
          <w:shd w:val="clear" w:color="auto" w:fill="FFFFFF"/>
        </w:rPr>
        <w:t>s</w:t>
      </w:r>
      <w:r w:rsidRPr="00D8347A">
        <w:rPr>
          <w:rFonts w:ascii="Times New Roman" w:hAnsi="Times New Roman" w:cs="Times New Roman"/>
          <w:shd w:val="clear" w:color="auto" w:fill="FFFFFF"/>
        </w:rPr>
        <w:t xml:space="preserve"> for public utilities’ establishment of prescriptive rights. </w:t>
      </w:r>
      <w:r w:rsidR="00D02D09" w:rsidRPr="00D8347A">
        <w:rPr>
          <w:rFonts w:ascii="Times New Roman" w:hAnsi="Times New Roman" w:cs="Times New Roman"/>
          <w:shd w:val="clear" w:color="auto" w:fill="FFFFFF"/>
        </w:rPr>
        <w:t xml:space="preserve">See </w:t>
      </w:r>
      <w:hyperlink r:id="rId12" w:anchor="co_pp_sp_595_250" w:history="1">
        <w:r w:rsidRPr="00D8347A">
          <w:rPr>
            <w:rStyle w:val="Hyperlink"/>
            <w:rFonts w:ascii="Times New Roman" w:hAnsi="Times New Roman" w:cs="Times New Roman"/>
            <w:color w:val="auto"/>
            <w:bdr w:val="none" w:sz="0" w:space="0" w:color="auto" w:frame="1"/>
            <w:shd w:val="clear" w:color="auto" w:fill="FFFFFF"/>
          </w:rPr>
          <w:t>Bauer v. Wisconsin Energy Corporation</w:t>
        </w:r>
        <w:r w:rsidRPr="00D8347A">
          <w:rPr>
            <w:rStyle w:val="Hyperlink"/>
            <w:rFonts w:ascii="Times New Roman" w:hAnsi="Times New Roman" w:cs="Times New Roman"/>
            <w:color w:val="auto"/>
            <w:u w:val="none"/>
            <w:bdr w:val="none" w:sz="0" w:space="0" w:color="auto" w:frame="1"/>
            <w:shd w:val="clear" w:color="auto" w:fill="FFFFFF"/>
          </w:rPr>
          <w:t xml:space="preserve">, 2022 WI 11, </w:t>
        </w:r>
        <w:r w:rsidR="00563C9C" w:rsidRPr="00D8347A">
          <w:rPr>
            <w:rFonts w:ascii="Times New Roman" w:hAnsi="Times New Roman" w:cs="Times New Roman"/>
          </w:rPr>
          <w:t xml:space="preserve">¶20, </w:t>
        </w:r>
        <w:r w:rsidRPr="00D8347A">
          <w:rPr>
            <w:rStyle w:val="Hyperlink"/>
            <w:rFonts w:ascii="Times New Roman" w:hAnsi="Times New Roman" w:cs="Times New Roman"/>
            <w:color w:val="auto"/>
            <w:u w:val="none"/>
            <w:bdr w:val="none" w:sz="0" w:space="0" w:color="auto" w:frame="1"/>
            <w:shd w:val="clear" w:color="auto" w:fill="FFFFFF"/>
          </w:rPr>
          <w:t>400 Wis. 2d 5</w:t>
        </w:r>
        <w:r w:rsidR="00563C9C" w:rsidRPr="00D8347A">
          <w:rPr>
            <w:rStyle w:val="Hyperlink"/>
            <w:rFonts w:ascii="Times New Roman" w:hAnsi="Times New Roman" w:cs="Times New Roman"/>
            <w:color w:val="auto"/>
            <w:u w:val="none"/>
            <w:bdr w:val="none" w:sz="0" w:space="0" w:color="auto" w:frame="1"/>
            <w:shd w:val="clear" w:color="auto" w:fill="FFFFFF"/>
          </w:rPr>
          <w:t xml:space="preserve">92, </w:t>
        </w:r>
        <w:r w:rsidRPr="00D8347A">
          <w:rPr>
            <w:rStyle w:val="Hyperlink"/>
            <w:rFonts w:ascii="Times New Roman" w:hAnsi="Times New Roman" w:cs="Times New Roman"/>
            <w:color w:val="auto"/>
            <w:u w:val="none"/>
            <w:bdr w:val="none" w:sz="0" w:space="0" w:color="auto" w:frame="1"/>
            <w:shd w:val="clear" w:color="auto" w:fill="FFFFFF"/>
          </w:rPr>
          <w:t>970 N.W.2d 243, 250.</w:t>
        </w:r>
      </w:hyperlink>
      <w:r w:rsidR="00D02D09" w:rsidRPr="00D8347A">
        <w:rPr>
          <w:rFonts w:ascii="Times New Roman" w:hAnsi="Times New Roman" w:cs="Times New Roman"/>
          <w:shd w:val="clear" w:color="auto" w:fill="FFFFFF"/>
        </w:rPr>
        <w:t> </w:t>
      </w:r>
      <w:r w:rsidR="00BA60AB" w:rsidRPr="00D8347A">
        <w:rPr>
          <w:rFonts w:ascii="Times New Roman" w:hAnsi="Times New Roman" w:cs="Times New Roman"/>
          <w:shd w:val="clear" w:color="auto" w:fill="FFFFFF"/>
        </w:rPr>
        <w:t>The abrogation</w:t>
      </w:r>
      <w:r w:rsidR="00C47B1C" w:rsidRPr="00D8347A">
        <w:rPr>
          <w:rFonts w:ascii="Times New Roman" w:hAnsi="Times New Roman" w:cs="Times New Roman"/>
          <w:shd w:val="clear" w:color="auto" w:fill="FFFFFF"/>
        </w:rPr>
        <w:t xml:space="preserve"> of these two elements was meant</w:t>
      </w:r>
      <w:r w:rsidR="00D02D09" w:rsidRPr="00D8347A">
        <w:rPr>
          <w:rFonts w:ascii="Times New Roman" w:hAnsi="Times New Roman" w:cs="Times New Roman"/>
          <w:shd w:val="clear" w:color="auto" w:fill="FFFFFF"/>
        </w:rPr>
        <w:t xml:space="preserve"> to</w:t>
      </w:r>
      <w:r w:rsidRPr="00D8347A">
        <w:rPr>
          <w:rFonts w:ascii="Times New Roman" w:hAnsi="Times New Roman" w:cs="Times New Roman"/>
          <w:shd w:val="clear" w:color="auto" w:fill="FFFFFF"/>
        </w:rPr>
        <w:t xml:space="preserve"> allow a permissive use to r</w:t>
      </w:r>
      <w:r w:rsidR="00C47B1C" w:rsidRPr="00D8347A">
        <w:rPr>
          <w:rFonts w:ascii="Times New Roman" w:hAnsi="Times New Roman" w:cs="Times New Roman"/>
          <w:shd w:val="clear" w:color="auto" w:fill="FFFFFF"/>
        </w:rPr>
        <w:t xml:space="preserve">ipen into a prescriptive right. See </w:t>
      </w:r>
      <w:r w:rsidR="00C47B1C" w:rsidRPr="00D8347A">
        <w:rPr>
          <w:rFonts w:ascii="Times New Roman" w:hAnsi="Times New Roman" w:cs="Times New Roman"/>
          <w:u w:val="single"/>
          <w:shd w:val="clear" w:color="auto" w:fill="FFFFFF"/>
        </w:rPr>
        <w:t xml:space="preserve">Williams v. Am. </w:t>
      </w:r>
      <w:r w:rsidR="00C47B1C" w:rsidRPr="00D8347A">
        <w:rPr>
          <w:rFonts w:ascii="Times New Roman" w:hAnsi="Times New Roman" w:cs="Times New Roman"/>
          <w:u w:val="single"/>
          <w:shd w:val="clear" w:color="auto" w:fill="FFFFFF"/>
        </w:rPr>
        <w:lastRenderedPageBreak/>
        <w:t>Transmission Co., LLC</w:t>
      </w:r>
      <w:r w:rsidR="00C47B1C" w:rsidRPr="00D8347A">
        <w:rPr>
          <w:rFonts w:ascii="Times New Roman" w:hAnsi="Times New Roman" w:cs="Times New Roman"/>
          <w:shd w:val="clear" w:color="auto" w:fill="FFFFFF"/>
        </w:rPr>
        <w:t>, 2007 WI App 246, ¶¶9-15, 306 Wis. 2d 181, 742 N.W.2d 882. § 893.28 also reduced the vesting period from 20 to 10 years.</w:t>
      </w:r>
    </w:p>
    <w:p w14:paraId="013B7559" w14:textId="77777777" w:rsidR="00C47B1C" w:rsidRPr="00D8347A" w:rsidRDefault="00C47B1C" w:rsidP="00C47B1C">
      <w:pPr>
        <w:pStyle w:val="NoSpacing"/>
        <w:jc w:val="both"/>
        <w:rPr>
          <w:rFonts w:ascii="Times New Roman" w:hAnsi="Times New Roman" w:cs="Times New Roman"/>
        </w:rPr>
      </w:pPr>
    </w:p>
    <w:p w14:paraId="61118111" w14:textId="688668FE" w:rsidR="00C47B1C" w:rsidRPr="00D8347A" w:rsidRDefault="00BA60AB" w:rsidP="00BA60AB">
      <w:pPr>
        <w:pStyle w:val="NoSpacing"/>
        <w:ind w:firstLine="450"/>
        <w:jc w:val="both"/>
        <w:rPr>
          <w:rFonts w:ascii="Times New Roman" w:hAnsi="Times New Roman" w:cs="Times New Roman"/>
        </w:rPr>
      </w:pPr>
      <w:r w:rsidRPr="00D8347A">
        <w:rPr>
          <w:rFonts w:ascii="Times New Roman" w:hAnsi="Times New Roman" w:cs="Times New Roman"/>
          <w:b/>
        </w:rPr>
        <w:t>Visible, open, and notorious element</w:t>
      </w:r>
      <w:r w:rsidRPr="00D8347A">
        <w:rPr>
          <w:rFonts w:ascii="Times New Roman" w:hAnsi="Times New Roman" w:cs="Times New Roman"/>
        </w:rPr>
        <w:t xml:space="preserve">.  </w:t>
      </w:r>
      <w:r w:rsidR="00C47B1C" w:rsidRPr="00D8347A">
        <w:rPr>
          <w:rFonts w:ascii="Times New Roman" w:hAnsi="Times New Roman" w:cs="Times New Roman"/>
        </w:rPr>
        <w:t xml:space="preserve">§ 893.28(2) contains no mention of the use being either </w:t>
      </w:r>
      <w:r w:rsidRPr="00D8347A">
        <w:rPr>
          <w:rFonts w:ascii="Times New Roman" w:hAnsi="Times New Roman" w:cs="Times New Roman"/>
        </w:rPr>
        <w:t>“visible, open, and notorious.”</w:t>
      </w:r>
    </w:p>
    <w:p w14:paraId="0776B57D" w14:textId="269F1FE5" w:rsidR="00563C9C" w:rsidRPr="00D8347A" w:rsidRDefault="00563C9C" w:rsidP="00BA60AB">
      <w:pPr>
        <w:pStyle w:val="NoSpacing"/>
        <w:ind w:firstLine="450"/>
        <w:jc w:val="both"/>
        <w:rPr>
          <w:rFonts w:ascii="Times New Roman" w:hAnsi="Times New Roman" w:cs="Times New Roman"/>
        </w:rPr>
      </w:pPr>
    </w:p>
    <w:p w14:paraId="57A3DF97" w14:textId="30E65A38" w:rsidR="00FF531B" w:rsidRPr="00D8347A" w:rsidRDefault="00FF531B" w:rsidP="00FF531B">
      <w:pPr>
        <w:spacing w:after="0" w:line="240" w:lineRule="auto"/>
        <w:ind w:firstLine="450"/>
        <w:jc w:val="both"/>
        <w:rPr>
          <w:rFonts w:ascii="Times New Roman" w:hAnsi="Times New Roman" w:cs="Times New Roman"/>
        </w:rPr>
      </w:pPr>
      <w:r w:rsidRPr="00D8347A">
        <w:rPr>
          <w:rFonts w:ascii="Times New Roman" w:hAnsi="Times New Roman" w:cs="Times New Roman"/>
          <w:b/>
        </w:rPr>
        <w:t>Permissive use ripening into a prescriptive right</w:t>
      </w:r>
      <w:r w:rsidRPr="00D8347A">
        <w:rPr>
          <w:rFonts w:ascii="Times New Roman" w:hAnsi="Times New Roman" w:cs="Times New Roman"/>
        </w:rPr>
        <w:t xml:space="preserve">. Unlike common law claims-of-right, that require an adverse use of rights in another’s real property, Wis. Stat. § 893.28(2) “omits any mention of the use being ‘adverse’ or ‘hostile and inconsistent with the exercise of the titleholder’s rights.’” </w:t>
      </w:r>
      <w:r w:rsidRPr="00D8347A">
        <w:rPr>
          <w:rFonts w:ascii="Times New Roman" w:hAnsi="Times New Roman" w:cs="Times New Roman"/>
          <w:u w:val="single"/>
        </w:rPr>
        <w:t>Bauer v. Wisconsin Energy Corporation</w:t>
      </w:r>
      <w:r w:rsidRPr="00D8347A">
        <w:rPr>
          <w:rFonts w:ascii="Times New Roman" w:hAnsi="Times New Roman" w:cs="Times New Roman"/>
        </w:rPr>
        <w:t xml:space="preserve">, 2022 WI 11, ¶19, 400 Wis. 2d 592, 970 N.W.2d 243, 250. As the Court noted in </w:t>
      </w:r>
      <w:r w:rsidRPr="00D8347A">
        <w:rPr>
          <w:rFonts w:ascii="Times New Roman" w:hAnsi="Times New Roman" w:cs="Times New Roman"/>
          <w:u w:val="single"/>
        </w:rPr>
        <w:t>Bauer</w:t>
      </w:r>
      <w:r w:rsidRPr="00D8347A">
        <w:rPr>
          <w:rFonts w:ascii="Times New Roman" w:hAnsi="Times New Roman" w:cs="Times New Roman"/>
        </w:rPr>
        <w:t xml:space="preserve">, context makes clear that “the legislature drafted § 893.28(2) to allow a permissive use to ripen into a prescriptive right. See also, </w:t>
      </w:r>
      <w:r w:rsidRPr="00D8347A">
        <w:rPr>
          <w:rFonts w:ascii="Times New Roman" w:hAnsi="Times New Roman" w:cs="Times New Roman"/>
          <w:u w:val="single"/>
        </w:rPr>
        <w:t>Williams v. American Transmission Co. LLC</w:t>
      </w:r>
      <w:r w:rsidRPr="00D8347A">
        <w:rPr>
          <w:rFonts w:ascii="Times New Roman" w:hAnsi="Times New Roman" w:cs="Times New Roman"/>
        </w:rPr>
        <w:t xml:space="preserve">, 306 Wis.2d 181, ¶¶9-15, 742 N.W.2d 882. Therefore, the statute’s omission of the adversary requirement allows permissive uses, such as licenses, to ripen into prescriptive rights. </w:t>
      </w:r>
      <w:r w:rsidRPr="00D8347A">
        <w:rPr>
          <w:rFonts w:ascii="Times New Roman" w:hAnsi="Times New Roman" w:cs="Times New Roman"/>
          <w:u w:val="single"/>
        </w:rPr>
        <w:t>Id</w:t>
      </w:r>
      <w:r w:rsidRPr="00D8347A">
        <w:rPr>
          <w:rFonts w:ascii="Times New Roman" w:hAnsi="Times New Roman" w:cs="Times New Roman"/>
        </w:rPr>
        <w:t xml:space="preserve">. The court did not decide whether the ‘visible, open, and notorious’ requirement that is generally a part of an adverse possession case applies to a claim brought under Wis. Stat. sec. 893.28(2), but did note that, “[s]uch a use is not inherently inconsistent with a permissive license.” </w:t>
      </w:r>
      <w:r w:rsidRPr="00D8347A">
        <w:rPr>
          <w:rFonts w:ascii="Times New Roman" w:hAnsi="Times New Roman" w:cs="Times New Roman"/>
          <w:u w:val="single"/>
        </w:rPr>
        <w:t>Bauer</w:t>
      </w:r>
      <w:r w:rsidRPr="00D8347A">
        <w:rPr>
          <w:rFonts w:ascii="Times New Roman" w:hAnsi="Times New Roman" w:cs="Times New Roman"/>
        </w:rPr>
        <w:t xml:space="preserve">, </w:t>
      </w:r>
      <w:r w:rsidRPr="00D8347A">
        <w:rPr>
          <w:rFonts w:ascii="Times New Roman" w:hAnsi="Times New Roman" w:cs="Times New Roman"/>
          <w:u w:val="single"/>
        </w:rPr>
        <w:t>supra</w:t>
      </w:r>
      <w:r w:rsidRPr="00D8347A">
        <w:rPr>
          <w:rFonts w:ascii="Times New Roman" w:hAnsi="Times New Roman" w:cs="Times New Roman"/>
        </w:rPr>
        <w:t xml:space="preserve">, at ¶22. </w:t>
      </w:r>
    </w:p>
    <w:sectPr w:rsidR="00FF531B" w:rsidRPr="00D8347A" w:rsidSect="00D8347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3EA8" w14:textId="77777777" w:rsidR="00FB4A98" w:rsidRDefault="00FB4A98" w:rsidP="00FB4A98">
      <w:pPr>
        <w:spacing w:after="0" w:line="240" w:lineRule="auto"/>
      </w:pPr>
      <w:r>
        <w:separator/>
      </w:r>
    </w:p>
  </w:endnote>
  <w:endnote w:type="continuationSeparator" w:id="0">
    <w:p w14:paraId="6B5B7C49" w14:textId="77777777" w:rsidR="00FB4A98" w:rsidRDefault="00FB4A98" w:rsidP="00FB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B843" w14:textId="77777777" w:rsidR="00C47B1C" w:rsidRDefault="00C47B1C" w:rsidP="00C47B1C">
    <w:pPr>
      <w:pStyle w:val="Footer"/>
      <w:jc w:val="both"/>
      <w:rPr>
        <w:rFonts w:ascii="Arial" w:hAnsi="Arial" w:cs="Arial"/>
        <w:sz w:val="20"/>
        <w:szCs w:val="20"/>
      </w:rPr>
    </w:pPr>
  </w:p>
  <w:p w14:paraId="16468795" w14:textId="32337D2A" w:rsidR="00C47B1C" w:rsidRPr="00C47B1C" w:rsidRDefault="00C47B1C" w:rsidP="00C47B1C">
    <w:pPr>
      <w:pStyle w:val="Footer"/>
      <w:jc w:val="both"/>
      <w:rPr>
        <w:rFonts w:ascii="Arial" w:hAnsi="Arial" w:cs="Arial"/>
        <w:sz w:val="20"/>
        <w:szCs w:val="20"/>
      </w:rPr>
    </w:pPr>
    <w:r w:rsidRPr="00C47B1C">
      <w:rPr>
        <w:rFonts w:ascii="Arial" w:hAnsi="Arial" w:cs="Arial"/>
        <w:sz w:val="20"/>
        <w:szCs w:val="20"/>
      </w:rPr>
      <w:t>Wiscon</w:t>
    </w:r>
    <w:r w:rsidR="00EA1F59">
      <w:rPr>
        <w:rFonts w:ascii="Arial" w:hAnsi="Arial" w:cs="Arial"/>
        <w:sz w:val="20"/>
        <w:szCs w:val="20"/>
      </w:rPr>
      <w:t>s</w:t>
    </w:r>
    <w:r w:rsidR="00D8347A">
      <w:rPr>
        <w:rFonts w:ascii="Arial" w:hAnsi="Arial" w:cs="Arial"/>
        <w:sz w:val="20"/>
        <w:szCs w:val="20"/>
      </w:rPr>
      <w:t xml:space="preserve">in Court System, </w:t>
    </w:r>
    <w:r w:rsidR="00E456A1">
      <w:rPr>
        <w:rFonts w:ascii="Arial" w:hAnsi="Arial" w:cs="Arial"/>
        <w:sz w:val="20"/>
        <w:szCs w:val="20"/>
      </w:rPr>
      <w:t>1/</w:t>
    </w:r>
    <w:r w:rsidR="00D8347A">
      <w:rPr>
        <w:rFonts w:ascii="Arial" w:hAnsi="Arial" w:cs="Arial"/>
        <w:sz w:val="20"/>
        <w:szCs w:val="20"/>
      </w:rPr>
      <w:t>2023</w:t>
    </w:r>
    <w:r w:rsidR="00D8347A">
      <w:rPr>
        <w:rFonts w:ascii="Arial" w:hAnsi="Arial" w:cs="Arial"/>
        <w:sz w:val="20"/>
        <w:szCs w:val="20"/>
      </w:rPr>
      <w:tab/>
    </w:r>
    <w:r w:rsidR="00D8347A">
      <w:rPr>
        <w:rFonts w:ascii="Arial" w:hAnsi="Arial" w:cs="Arial"/>
        <w:sz w:val="20"/>
        <w:szCs w:val="20"/>
      </w:rPr>
      <w:tab/>
      <w:t>(Release No. 54</w:t>
    </w:r>
    <w:r w:rsidRPr="00C47B1C">
      <w:rPr>
        <w:rFonts w:ascii="Arial" w:hAnsi="Arial" w:cs="Arial"/>
        <w:sz w:val="20"/>
        <w:szCs w:val="20"/>
      </w:rPr>
      <w:t>)</w:t>
    </w:r>
  </w:p>
  <w:p w14:paraId="2ACC1D2C" w14:textId="205CA3B2" w:rsidR="00C47B1C" w:rsidRPr="00C47B1C" w:rsidRDefault="00F510AF">
    <w:pPr>
      <w:pStyle w:val="Footer"/>
      <w:jc w:val="center"/>
      <w:rPr>
        <w:rFonts w:ascii="Arial" w:hAnsi="Arial" w:cs="Arial"/>
        <w:sz w:val="20"/>
        <w:szCs w:val="20"/>
      </w:rPr>
    </w:pPr>
    <w:sdt>
      <w:sdtPr>
        <w:rPr>
          <w:rFonts w:ascii="Arial" w:hAnsi="Arial" w:cs="Arial"/>
          <w:sz w:val="20"/>
          <w:szCs w:val="20"/>
        </w:rPr>
        <w:id w:val="1748076015"/>
        <w:docPartObj>
          <w:docPartGallery w:val="Page Numbers (Bottom of Page)"/>
          <w:docPartUnique/>
        </w:docPartObj>
      </w:sdtPr>
      <w:sdtEndPr>
        <w:rPr>
          <w:noProof/>
        </w:rPr>
      </w:sdtEndPr>
      <w:sdtContent>
        <w:r w:rsidR="00C47B1C" w:rsidRPr="00C47B1C">
          <w:rPr>
            <w:rFonts w:ascii="Arial" w:hAnsi="Arial" w:cs="Arial"/>
            <w:sz w:val="20"/>
            <w:szCs w:val="20"/>
          </w:rPr>
          <w:fldChar w:fldCharType="begin"/>
        </w:r>
        <w:r w:rsidR="00C47B1C" w:rsidRPr="00C47B1C">
          <w:rPr>
            <w:rFonts w:ascii="Arial" w:hAnsi="Arial" w:cs="Arial"/>
            <w:sz w:val="20"/>
            <w:szCs w:val="20"/>
          </w:rPr>
          <w:instrText xml:space="preserve"> PAGE   \* MERGEFORMAT </w:instrText>
        </w:r>
        <w:r w:rsidR="00C47B1C" w:rsidRPr="00C47B1C">
          <w:rPr>
            <w:rFonts w:ascii="Arial" w:hAnsi="Arial" w:cs="Arial"/>
            <w:sz w:val="20"/>
            <w:szCs w:val="20"/>
          </w:rPr>
          <w:fldChar w:fldCharType="separate"/>
        </w:r>
        <w:r>
          <w:rPr>
            <w:rFonts w:ascii="Arial" w:hAnsi="Arial" w:cs="Arial"/>
            <w:noProof/>
            <w:sz w:val="20"/>
            <w:szCs w:val="20"/>
          </w:rPr>
          <w:t>3</w:t>
        </w:r>
        <w:r w:rsidR="00C47B1C" w:rsidRPr="00C47B1C">
          <w:rPr>
            <w:rFonts w:ascii="Arial" w:hAnsi="Arial" w:cs="Arial"/>
            <w:noProof/>
            <w:sz w:val="20"/>
            <w:szCs w:val="20"/>
          </w:rPr>
          <w:fldChar w:fldCharType="end"/>
        </w:r>
      </w:sdtContent>
    </w:sdt>
  </w:p>
  <w:p w14:paraId="7387E3BE" w14:textId="77777777" w:rsidR="00C47B1C" w:rsidRPr="00C47B1C" w:rsidRDefault="00C47B1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AC49" w14:textId="77777777" w:rsidR="00FB4A98" w:rsidRDefault="00FB4A98" w:rsidP="00FB4A98">
      <w:pPr>
        <w:spacing w:after="0" w:line="240" w:lineRule="auto"/>
      </w:pPr>
      <w:r>
        <w:separator/>
      </w:r>
    </w:p>
  </w:footnote>
  <w:footnote w:type="continuationSeparator" w:id="0">
    <w:p w14:paraId="18C11CCF" w14:textId="77777777" w:rsidR="00FB4A98" w:rsidRDefault="00FB4A98" w:rsidP="00FB4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82A5" w14:textId="77777777" w:rsidR="00FB4A98" w:rsidRDefault="00FB4A98" w:rsidP="00FB4A98">
    <w:pPr>
      <w:widowControl w:val="0"/>
      <w:tabs>
        <w:tab w:val="center" w:pos="4680"/>
        <w:tab w:val="right" w:pos="9360"/>
      </w:tabs>
      <w:autoSpaceDE w:val="0"/>
      <w:autoSpaceDN w:val="0"/>
      <w:adjustRightInd w:val="0"/>
      <w:spacing w:after="0" w:line="240" w:lineRule="auto"/>
      <w:jc w:val="both"/>
      <w:rPr>
        <w:rFonts w:ascii="Arial" w:eastAsia="Times New Roman" w:hAnsi="Arial" w:cs="Arial"/>
        <w:b/>
        <w:bCs/>
        <w:sz w:val="28"/>
        <w:szCs w:val="28"/>
      </w:rPr>
    </w:pPr>
  </w:p>
  <w:p w14:paraId="1201EB15" w14:textId="77777777" w:rsidR="00FB4A98" w:rsidRDefault="00FB4A98" w:rsidP="00FB4A98">
    <w:pPr>
      <w:widowControl w:val="0"/>
      <w:tabs>
        <w:tab w:val="center" w:pos="4680"/>
        <w:tab w:val="right" w:pos="9360"/>
      </w:tabs>
      <w:autoSpaceDE w:val="0"/>
      <w:autoSpaceDN w:val="0"/>
      <w:adjustRightInd w:val="0"/>
      <w:spacing w:after="0" w:line="240" w:lineRule="auto"/>
      <w:jc w:val="both"/>
      <w:rPr>
        <w:rFonts w:ascii="Arial" w:eastAsia="Times New Roman" w:hAnsi="Arial" w:cs="Arial"/>
        <w:b/>
        <w:bCs/>
        <w:sz w:val="28"/>
        <w:szCs w:val="28"/>
      </w:rPr>
    </w:pPr>
    <w:r>
      <w:rPr>
        <w:rFonts w:ascii="Arial" w:eastAsia="Times New Roman" w:hAnsi="Arial" w:cs="Arial"/>
        <w:b/>
        <w:bCs/>
        <w:sz w:val="28"/>
        <w:szCs w:val="28"/>
      </w:rPr>
      <w:t>8065</w:t>
    </w:r>
    <w:r>
      <w:rPr>
        <w:rFonts w:ascii="Arial" w:eastAsia="Times New Roman" w:hAnsi="Arial" w:cs="Arial"/>
        <w:b/>
        <w:bCs/>
        <w:sz w:val="28"/>
        <w:szCs w:val="28"/>
      </w:rPr>
      <w:tab/>
      <w:t>WIS JI-CIVIL</w:t>
    </w:r>
    <w:r>
      <w:rPr>
        <w:rFonts w:ascii="Arial" w:eastAsia="Times New Roman" w:hAnsi="Arial" w:cs="Arial"/>
        <w:b/>
        <w:bCs/>
        <w:sz w:val="28"/>
        <w:szCs w:val="28"/>
      </w:rPr>
      <w:tab/>
      <w:t>8065</w:t>
    </w:r>
  </w:p>
  <w:p w14:paraId="6EA430C2" w14:textId="77777777" w:rsidR="00FB4A98" w:rsidRDefault="00FB4A98" w:rsidP="00FB4A98">
    <w:pPr>
      <w:widowControl w:val="0"/>
      <w:tabs>
        <w:tab w:val="center" w:pos="4680"/>
        <w:tab w:val="right" w:pos="9360"/>
      </w:tabs>
      <w:autoSpaceDE w:val="0"/>
      <w:autoSpaceDN w:val="0"/>
      <w:adjustRightInd w:val="0"/>
      <w:spacing w:after="0" w:line="240" w:lineRule="auto"/>
      <w:jc w:val="both"/>
      <w:rPr>
        <w:rFonts w:ascii="Arial" w:eastAsia="Times New Roman" w:hAnsi="Arial" w:cs="Arial"/>
        <w:b/>
        <w:bCs/>
        <w:sz w:val="28"/>
        <w:szCs w:val="28"/>
      </w:rPr>
    </w:pPr>
  </w:p>
  <w:p w14:paraId="2BEF8228" w14:textId="77777777" w:rsidR="00FB4A98" w:rsidRPr="00FB4A98" w:rsidRDefault="00FB4A98" w:rsidP="00FB4A98">
    <w:pPr>
      <w:widowControl w:val="0"/>
      <w:tabs>
        <w:tab w:val="center" w:pos="4680"/>
        <w:tab w:val="right" w:pos="9360"/>
      </w:tabs>
      <w:autoSpaceDE w:val="0"/>
      <w:autoSpaceDN w:val="0"/>
      <w:adjustRightInd w:val="0"/>
      <w:spacing w:after="0" w:line="240" w:lineRule="auto"/>
      <w:jc w:val="both"/>
      <w:rPr>
        <w:rFonts w:ascii="Arial" w:eastAsia="Times New Roman" w:hAnsi="Arial" w:cs="Arial"/>
        <w:b/>
        <w:bC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8FD"/>
    <w:multiLevelType w:val="hybridMultilevel"/>
    <w:tmpl w:val="2004B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21CBB"/>
    <w:multiLevelType w:val="hybridMultilevel"/>
    <w:tmpl w:val="4DD6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8"/>
    <w:rsid w:val="00064F27"/>
    <w:rsid w:val="00070F4A"/>
    <w:rsid w:val="00096BEB"/>
    <w:rsid w:val="000D67E6"/>
    <w:rsid w:val="000E1D9D"/>
    <w:rsid w:val="0017218C"/>
    <w:rsid w:val="00323B19"/>
    <w:rsid w:val="00353C3D"/>
    <w:rsid w:val="004F08E9"/>
    <w:rsid w:val="0056077C"/>
    <w:rsid w:val="00563C9C"/>
    <w:rsid w:val="005C7411"/>
    <w:rsid w:val="00664FC4"/>
    <w:rsid w:val="006849E1"/>
    <w:rsid w:val="006B4546"/>
    <w:rsid w:val="00731C28"/>
    <w:rsid w:val="0075329B"/>
    <w:rsid w:val="007A213A"/>
    <w:rsid w:val="00890CDB"/>
    <w:rsid w:val="009507C4"/>
    <w:rsid w:val="009F0EEB"/>
    <w:rsid w:val="00B6327D"/>
    <w:rsid w:val="00BA60AB"/>
    <w:rsid w:val="00C04634"/>
    <w:rsid w:val="00C40C41"/>
    <w:rsid w:val="00C47B1C"/>
    <w:rsid w:val="00C86CD6"/>
    <w:rsid w:val="00CC5187"/>
    <w:rsid w:val="00D02D09"/>
    <w:rsid w:val="00D30BFA"/>
    <w:rsid w:val="00D557A2"/>
    <w:rsid w:val="00D81134"/>
    <w:rsid w:val="00D8347A"/>
    <w:rsid w:val="00D879CC"/>
    <w:rsid w:val="00DE007A"/>
    <w:rsid w:val="00DF4A98"/>
    <w:rsid w:val="00E456A1"/>
    <w:rsid w:val="00EA1F59"/>
    <w:rsid w:val="00EA4468"/>
    <w:rsid w:val="00EC3BA3"/>
    <w:rsid w:val="00F510AF"/>
    <w:rsid w:val="00FB4A98"/>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B018"/>
  <w15:chartTrackingRefBased/>
  <w15:docId w15:val="{BE8A9916-E95A-40D5-B451-FA59B788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A98"/>
  </w:style>
  <w:style w:type="paragraph" w:styleId="Footer">
    <w:name w:val="footer"/>
    <w:basedOn w:val="Normal"/>
    <w:link w:val="FooterChar"/>
    <w:uiPriority w:val="99"/>
    <w:unhideWhenUsed/>
    <w:rsid w:val="00FB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A98"/>
  </w:style>
  <w:style w:type="paragraph" w:styleId="NoSpacing">
    <w:name w:val="No Spacing"/>
    <w:uiPriority w:val="1"/>
    <w:qFormat/>
    <w:rsid w:val="00FB4A98"/>
    <w:pPr>
      <w:spacing w:after="0" w:line="240" w:lineRule="auto"/>
    </w:pPr>
  </w:style>
  <w:style w:type="character" w:styleId="LineNumber">
    <w:name w:val="line number"/>
    <w:basedOn w:val="DefaultParagraphFont"/>
    <w:uiPriority w:val="99"/>
    <w:semiHidden/>
    <w:unhideWhenUsed/>
    <w:rsid w:val="00FB4A98"/>
  </w:style>
  <w:style w:type="character" w:styleId="Hyperlink">
    <w:name w:val="Hyperlink"/>
    <w:basedOn w:val="DefaultParagraphFont"/>
    <w:uiPriority w:val="99"/>
    <w:semiHidden/>
    <w:unhideWhenUsed/>
    <w:rsid w:val="00323B19"/>
    <w:rPr>
      <w:color w:val="0000FF"/>
      <w:u w:val="single"/>
    </w:rPr>
  </w:style>
  <w:style w:type="character" w:customStyle="1" w:styleId="counderline">
    <w:name w:val="co_underline"/>
    <w:basedOn w:val="DefaultParagraphFont"/>
    <w:rsid w:val="00323B19"/>
  </w:style>
  <w:style w:type="paragraph" w:styleId="ListParagraph">
    <w:name w:val="List Paragraph"/>
    <w:basedOn w:val="Normal"/>
    <w:uiPriority w:val="34"/>
    <w:qFormat/>
    <w:rsid w:val="00731C28"/>
    <w:pPr>
      <w:ind w:left="720"/>
      <w:contextualSpacing/>
    </w:pPr>
  </w:style>
  <w:style w:type="character" w:styleId="CommentReference">
    <w:name w:val="annotation reference"/>
    <w:basedOn w:val="DefaultParagraphFont"/>
    <w:uiPriority w:val="99"/>
    <w:semiHidden/>
    <w:unhideWhenUsed/>
    <w:rsid w:val="00DF4A98"/>
    <w:rPr>
      <w:sz w:val="16"/>
      <w:szCs w:val="16"/>
    </w:rPr>
  </w:style>
  <w:style w:type="paragraph" w:styleId="CommentText">
    <w:name w:val="annotation text"/>
    <w:basedOn w:val="Normal"/>
    <w:link w:val="CommentTextChar"/>
    <w:uiPriority w:val="99"/>
    <w:semiHidden/>
    <w:unhideWhenUsed/>
    <w:rsid w:val="00DF4A98"/>
    <w:pPr>
      <w:spacing w:line="240" w:lineRule="auto"/>
    </w:pPr>
    <w:rPr>
      <w:sz w:val="20"/>
      <w:szCs w:val="20"/>
    </w:rPr>
  </w:style>
  <w:style w:type="character" w:customStyle="1" w:styleId="CommentTextChar">
    <w:name w:val="Comment Text Char"/>
    <w:basedOn w:val="DefaultParagraphFont"/>
    <w:link w:val="CommentText"/>
    <w:uiPriority w:val="99"/>
    <w:semiHidden/>
    <w:rsid w:val="00DF4A98"/>
    <w:rPr>
      <w:sz w:val="20"/>
      <w:szCs w:val="20"/>
    </w:rPr>
  </w:style>
  <w:style w:type="paragraph" w:styleId="CommentSubject">
    <w:name w:val="annotation subject"/>
    <w:basedOn w:val="CommentText"/>
    <w:next w:val="CommentText"/>
    <w:link w:val="CommentSubjectChar"/>
    <w:uiPriority w:val="99"/>
    <w:semiHidden/>
    <w:unhideWhenUsed/>
    <w:rsid w:val="00DF4A98"/>
    <w:rPr>
      <w:b/>
      <w:bCs/>
    </w:rPr>
  </w:style>
  <w:style w:type="character" w:customStyle="1" w:styleId="CommentSubjectChar">
    <w:name w:val="Comment Subject Char"/>
    <w:basedOn w:val="CommentTextChar"/>
    <w:link w:val="CommentSubject"/>
    <w:uiPriority w:val="99"/>
    <w:semiHidden/>
    <w:rsid w:val="00DF4A98"/>
    <w:rPr>
      <w:b/>
      <w:bCs/>
      <w:sz w:val="20"/>
      <w:szCs w:val="20"/>
    </w:rPr>
  </w:style>
  <w:style w:type="paragraph" w:styleId="BalloonText">
    <w:name w:val="Balloon Text"/>
    <w:basedOn w:val="Normal"/>
    <w:link w:val="BalloonTextChar"/>
    <w:uiPriority w:val="99"/>
    <w:semiHidden/>
    <w:unhideWhenUsed/>
    <w:rsid w:val="00DF4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courts/2007%20WI%20App%201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next.westlaw.com/Link/Document/FullText?findType=Y&amp;serNum=2055637949&amp;pubNum=0000595&amp;originatingDoc=Ib73a9958874e11d99ca8fe6ccbbb6277&amp;refType=RP&amp;fi=co_pp_sp_595_250&amp;originationContext=document&amp;transitionType=DocumentItem&amp;ppcid=b72943ab90dd4527bd930ea3cf5510b6&amp;contextData=(sc.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wicourtofappeals/06-00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legis.wisconsin.gov/document/courts/731%20N.W.2d%20649" TargetMode="External"/><Relationship Id="rId4" Type="http://schemas.openxmlformats.org/officeDocument/2006/relationships/settings" Target="settings.xml"/><Relationship Id="rId9" Type="http://schemas.openxmlformats.org/officeDocument/2006/relationships/hyperlink" Target="https://docs.legis.wisconsin.gov/document/courts/300%20Wis.%202d%207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F771-A84E-4A5D-B931-6E7C0CA6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4</cp:revision>
  <dcterms:created xsi:type="dcterms:W3CDTF">2022-12-09T18:34:00Z</dcterms:created>
  <dcterms:modified xsi:type="dcterms:W3CDTF">2022-12-12T20:08:00Z</dcterms:modified>
</cp:coreProperties>
</file>