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37" w:rsidRPr="009F443C" w:rsidRDefault="008E09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9F443C">
        <w:rPr>
          <w:rFonts w:ascii="Times New Roman" w:eastAsia="PMingLiU" w:hAnsi="Times New Roman"/>
          <w:b/>
          <w:bCs/>
          <w:sz w:val="26"/>
          <w:szCs w:val="26"/>
        </w:rPr>
        <w:t>1803</w:t>
      </w:r>
      <w:r w:rsidRPr="009F443C">
        <w:rPr>
          <w:rFonts w:ascii="Times New Roman" w:eastAsia="PMingLiU" w:hAnsi="Times New Roman"/>
          <w:b/>
          <w:bCs/>
          <w:sz w:val="26"/>
          <w:szCs w:val="26"/>
        </w:rPr>
        <w:tab/>
        <w:t>PROPERTY: DESTRUCTION OF PROPERTY</w:t>
      </w:r>
    </w:p>
    <w:p w:rsidR="008E0937" w:rsidRPr="009F443C" w:rsidRDefault="008E09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8E0937" w:rsidRPr="009F443C" w:rsidRDefault="008E0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9F443C">
        <w:rPr>
          <w:rFonts w:ascii="Times New Roman" w:eastAsia="PMingLiU" w:hAnsi="Times New Roman"/>
          <w:sz w:val="26"/>
          <w:szCs w:val="26"/>
        </w:rPr>
        <w:t xml:space="preserve">Question </w:t>
      </w:r>
      <w:r w:rsidRPr="009F443C">
        <w:rPr>
          <w:rFonts w:ascii="Times New Roman" w:eastAsia="PMingLiU" w:hAnsi="Times New Roman"/>
          <w:sz w:val="26"/>
          <w:szCs w:val="26"/>
          <w:u w:val="single"/>
        </w:rPr>
        <w:t xml:space="preserve">    </w:t>
      </w:r>
      <w:r w:rsidRPr="009F443C">
        <w:rPr>
          <w:rFonts w:ascii="Times New Roman" w:eastAsia="PMingLiU" w:hAnsi="Times New Roman"/>
          <w:sz w:val="26"/>
          <w:szCs w:val="26"/>
        </w:rPr>
        <w:t xml:space="preserve"> asks what amount will reasonably compensate (</w:t>
      </w:r>
      <w:r w:rsidRPr="009F443C">
        <w:rPr>
          <w:rFonts w:ascii="Times New Roman" w:eastAsia="PMingLiU" w:hAnsi="Times New Roman"/>
          <w:sz w:val="26"/>
          <w:szCs w:val="26"/>
          <w:u w:val="single"/>
        </w:rPr>
        <w:t>plaintiff</w:t>
      </w:r>
      <w:r w:rsidRPr="009F443C">
        <w:rPr>
          <w:rFonts w:ascii="Times New Roman" w:eastAsia="PMingLiU" w:hAnsi="Times New Roman"/>
          <w:sz w:val="26"/>
          <w:szCs w:val="26"/>
        </w:rPr>
        <w:t xml:space="preserve">) for the destruction of (his) (her) </w:t>
      </w:r>
      <w:r w:rsidRPr="009F443C">
        <w:rPr>
          <w:rFonts w:ascii="Times New Roman" w:eastAsia="PMingLiU" w:hAnsi="Times New Roman"/>
          <w:sz w:val="26"/>
          <w:szCs w:val="26"/>
          <w:u w:val="single"/>
        </w:rPr>
        <w:t xml:space="preserve">                </w:t>
      </w:r>
      <w:r w:rsidRPr="009F443C">
        <w:rPr>
          <w:rFonts w:ascii="Times New Roman" w:eastAsia="PMingLiU" w:hAnsi="Times New Roman"/>
          <w:sz w:val="26"/>
          <w:szCs w:val="26"/>
        </w:rPr>
        <w:t xml:space="preserve"> as a result of </w:t>
      </w:r>
      <w:r w:rsidRPr="009F443C">
        <w:rPr>
          <w:rFonts w:ascii="Times New Roman" w:eastAsia="PMingLiU" w:hAnsi="Times New Roman"/>
          <w:sz w:val="26"/>
          <w:szCs w:val="26"/>
          <w:u w:val="single"/>
        </w:rPr>
        <w:t xml:space="preserve">             </w:t>
      </w:r>
      <w:r w:rsidRPr="009F443C">
        <w:rPr>
          <w:rFonts w:ascii="Times New Roman" w:eastAsia="PMingLiU" w:hAnsi="Times New Roman"/>
          <w:sz w:val="26"/>
          <w:szCs w:val="26"/>
        </w:rPr>
        <w:t>.</w:t>
      </w:r>
    </w:p>
    <w:p w:rsidR="008E0937" w:rsidRPr="009F443C" w:rsidRDefault="008E0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9F443C">
        <w:rPr>
          <w:rFonts w:ascii="Times New Roman" w:eastAsia="PMingLiU" w:hAnsi="Times New Roman"/>
          <w:sz w:val="26"/>
          <w:szCs w:val="26"/>
        </w:rPr>
        <w:t>When property, such as (</w:t>
      </w:r>
      <w:r w:rsidRPr="009F443C">
        <w:rPr>
          <w:rFonts w:ascii="Times New Roman" w:eastAsia="PMingLiU" w:hAnsi="Times New Roman"/>
          <w:sz w:val="26"/>
          <w:szCs w:val="26"/>
          <w:u w:val="single"/>
        </w:rPr>
        <w:t>type</w:t>
      </w:r>
      <w:r w:rsidRPr="009F443C">
        <w:rPr>
          <w:rFonts w:ascii="Times New Roman" w:eastAsia="PMingLiU" w:hAnsi="Times New Roman"/>
          <w:sz w:val="26"/>
          <w:szCs w:val="26"/>
        </w:rPr>
        <w:t>), has been destroyed, compensation to the owner is measured by the fair market value of the property at the time and place of its destruction. "Fair market value" is the amount property will sell for where the owner is willing but not required to sell the property to a buyer willing but not required to buy the property.</w:t>
      </w:r>
    </w:p>
    <w:p w:rsidR="008E0937" w:rsidRPr="009F443C" w:rsidRDefault="008E0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9F443C">
        <w:rPr>
          <w:rFonts w:ascii="Times New Roman" w:eastAsia="PMingLiU" w:hAnsi="Times New Roman"/>
          <w:b/>
          <w:bCs/>
          <w:sz w:val="26"/>
          <w:szCs w:val="26"/>
        </w:rPr>
        <w:t>[Note: Use this paragraph when there is a question whether the property had a market value:</w:t>
      </w:r>
      <w:r w:rsidRPr="009F443C">
        <w:rPr>
          <w:rFonts w:ascii="Times New Roman" w:eastAsia="PMingLiU" w:hAnsi="Times New Roman"/>
          <w:sz w:val="26"/>
          <w:szCs w:val="26"/>
        </w:rPr>
        <w:t xml:space="preserve"> (If) (Since) the property had no market value at the time of its destruction, compensation to the owner is measured by the value of the property to the owner at the time of its destruction. In determining the value of the (</w:t>
      </w:r>
      <w:r w:rsidRPr="009F443C">
        <w:rPr>
          <w:rFonts w:ascii="Times New Roman" w:eastAsia="PMingLiU" w:hAnsi="Times New Roman"/>
          <w:sz w:val="26"/>
          <w:szCs w:val="26"/>
          <w:u w:val="single"/>
        </w:rPr>
        <w:t>property</w:t>
      </w:r>
      <w:r w:rsidRPr="009F443C">
        <w:rPr>
          <w:rFonts w:ascii="Times New Roman" w:eastAsia="PMingLiU" w:hAnsi="Times New Roman"/>
          <w:sz w:val="26"/>
          <w:szCs w:val="26"/>
        </w:rPr>
        <w:t>) to the (</w:t>
      </w:r>
      <w:r w:rsidRPr="009F443C">
        <w:rPr>
          <w:rFonts w:ascii="Times New Roman" w:eastAsia="PMingLiU" w:hAnsi="Times New Roman"/>
          <w:sz w:val="26"/>
          <w:szCs w:val="26"/>
          <w:u w:val="single"/>
        </w:rPr>
        <w:t>plaintiff</w:t>
      </w:r>
      <w:r w:rsidRPr="009F443C">
        <w:rPr>
          <w:rFonts w:ascii="Times New Roman" w:eastAsia="PMingLiU" w:hAnsi="Times New Roman"/>
          <w:sz w:val="26"/>
          <w:szCs w:val="26"/>
        </w:rPr>
        <w:t>), you should consider: the nature of the property, its use, age, original cost and depreciation, the cost to replace the property [if the property can be replaced], and all other facts and circumstances received in evidence which bear on the value of the property to the (</w:t>
      </w:r>
      <w:r w:rsidRPr="009F443C">
        <w:rPr>
          <w:rFonts w:ascii="Times New Roman" w:eastAsia="PMingLiU" w:hAnsi="Times New Roman"/>
          <w:sz w:val="26"/>
          <w:szCs w:val="26"/>
          <w:u w:val="single"/>
        </w:rPr>
        <w:t>plaintiff</w:t>
      </w:r>
      <w:r w:rsidRPr="009F443C">
        <w:rPr>
          <w:rFonts w:ascii="Times New Roman" w:eastAsia="PMingLiU" w:hAnsi="Times New Roman"/>
          <w:sz w:val="26"/>
          <w:szCs w:val="26"/>
        </w:rPr>
        <w:t>).]</w:t>
      </w:r>
    </w:p>
    <w:p w:rsidR="008E0937" w:rsidRPr="009F443C" w:rsidRDefault="008E0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9F443C">
        <w:rPr>
          <w:rFonts w:ascii="Times New Roman" w:eastAsia="PMingLiU" w:hAnsi="Times New Roman"/>
          <w:sz w:val="26"/>
          <w:szCs w:val="26"/>
        </w:rPr>
        <w:t>[You should not consider any sentimental value which (</w:t>
      </w:r>
      <w:r w:rsidRPr="009F443C">
        <w:rPr>
          <w:rFonts w:ascii="Times New Roman" w:eastAsia="PMingLiU" w:hAnsi="Times New Roman"/>
          <w:sz w:val="26"/>
          <w:szCs w:val="26"/>
          <w:u w:val="single"/>
        </w:rPr>
        <w:t>plaintiff</w:t>
      </w:r>
      <w:r w:rsidRPr="009F443C">
        <w:rPr>
          <w:rFonts w:ascii="Times New Roman" w:eastAsia="PMingLiU" w:hAnsi="Times New Roman"/>
          <w:sz w:val="26"/>
          <w:szCs w:val="26"/>
        </w:rPr>
        <w:t>) may have attached to the property.]</w:t>
      </w:r>
    </w:p>
    <w:p w:rsidR="008E0937" w:rsidRPr="009F443C" w:rsidRDefault="008E0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eastAsia="PMingLiU" w:hAnsi="Times New Roman"/>
          <w:sz w:val="26"/>
          <w:szCs w:val="26"/>
        </w:rPr>
      </w:pPr>
    </w:p>
    <w:p w:rsidR="008E0937" w:rsidRPr="009F443C" w:rsidRDefault="008E0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2"/>
          <w:szCs w:val="22"/>
        </w:rPr>
      </w:pPr>
      <w:bookmarkStart w:id="0" w:name="_GoBack"/>
      <w:bookmarkEnd w:id="0"/>
    </w:p>
    <w:sectPr w:rsidR="008E0937" w:rsidRPr="009F443C" w:rsidSect="008E0937">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00" w:rsidRDefault="00410B00" w:rsidP="008E0937">
      <w:r>
        <w:separator/>
      </w:r>
    </w:p>
  </w:endnote>
  <w:endnote w:type="continuationSeparator" w:id="0">
    <w:p w:rsidR="00410B00" w:rsidRDefault="00410B00" w:rsidP="008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akkal Majalla">
    <w:charset w:val="B2"/>
    <w:family w:val="auto"/>
    <w:pitch w:val="variable"/>
    <w:sig w:usb0="80002007" w:usb1="80000000" w:usb2="00000008" w:usb3="00000000" w:csb0="000000D3"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3C" w:rsidRDefault="009F443C" w:rsidP="009F443C">
    <w:pPr>
      <w:pStyle w:val="Footer"/>
      <w:rPr>
        <w:rFonts w:ascii="Arial" w:hAnsi="Arial"/>
        <w:sz w:val="20"/>
      </w:rPr>
    </w:pPr>
    <w:r>
      <w:rPr>
        <w:rFonts w:ascii="Arial" w:hAnsi="Arial" w:cs="Arial"/>
        <w:sz w:val="20"/>
      </w:rPr>
      <w:t>©2010</w:t>
    </w:r>
    <w:r>
      <w:rPr>
        <w:rFonts w:ascii="Arial" w:hAnsi="Arial"/>
        <w:sz w:val="20"/>
      </w:rPr>
      <w:t>, Regents, Univ. of Wis.</w:t>
    </w:r>
  </w:p>
  <w:p w:rsidR="008E0937" w:rsidRPr="009F443C" w:rsidRDefault="009F443C" w:rsidP="009F443C">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1A2A80">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00" w:rsidRDefault="00410B00" w:rsidP="008E0937">
      <w:r>
        <w:separator/>
      </w:r>
    </w:p>
  </w:footnote>
  <w:footnote w:type="continuationSeparator" w:id="0">
    <w:p w:rsidR="00410B00" w:rsidRDefault="00410B00" w:rsidP="008E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37" w:rsidRPr="009F443C" w:rsidRDefault="008E0937">
    <w:pPr>
      <w:rPr>
        <w:rFonts w:ascii="Arial" w:hAnsi="Arial" w:cs="Arial"/>
        <w:sz w:val="28"/>
        <w:szCs w:val="28"/>
      </w:rPr>
    </w:pPr>
  </w:p>
  <w:p w:rsidR="008E0937" w:rsidRPr="009F443C" w:rsidRDefault="008E0937">
    <w:pPr>
      <w:tabs>
        <w:tab w:val="center" w:pos="4680"/>
        <w:tab w:val="right" w:pos="9360"/>
      </w:tabs>
      <w:rPr>
        <w:rFonts w:ascii="Arial" w:hAnsi="Arial" w:cs="Arial"/>
        <w:b/>
        <w:bCs/>
        <w:sz w:val="28"/>
        <w:szCs w:val="28"/>
      </w:rPr>
    </w:pPr>
    <w:r w:rsidRPr="009F443C">
      <w:rPr>
        <w:rFonts w:ascii="Arial" w:hAnsi="Arial" w:cs="Arial"/>
        <w:b/>
        <w:bCs/>
        <w:sz w:val="28"/>
        <w:szCs w:val="28"/>
      </w:rPr>
      <w:t>1803</w:t>
    </w:r>
    <w:r w:rsidRPr="009F443C">
      <w:rPr>
        <w:rFonts w:ascii="Arial" w:hAnsi="Arial" w:cs="Arial"/>
        <w:b/>
        <w:bCs/>
        <w:sz w:val="28"/>
        <w:szCs w:val="28"/>
      </w:rPr>
      <w:tab/>
      <w:t>WIS JI-CIVIL</w:t>
    </w:r>
    <w:r w:rsidRPr="009F443C">
      <w:rPr>
        <w:rFonts w:ascii="Arial" w:hAnsi="Arial" w:cs="Arial"/>
        <w:b/>
        <w:bCs/>
        <w:sz w:val="28"/>
        <w:szCs w:val="28"/>
      </w:rPr>
      <w:tab/>
      <w:t>1803</w:t>
    </w:r>
  </w:p>
  <w:p w:rsidR="008E0937" w:rsidRPr="009F443C" w:rsidRDefault="008E0937">
    <w:pPr>
      <w:rPr>
        <w:rFonts w:ascii="Arial" w:hAnsi="Arial" w:cs="Arial"/>
        <w:sz w:val="28"/>
        <w:szCs w:val="28"/>
      </w:rPr>
    </w:pPr>
  </w:p>
  <w:p w:rsidR="008E0937" w:rsidRPr="009F443C" w:rsidRDefault="008E0937">
    <w:pPr>
      <w:rPr>
        <w:rFonts w:ascii="Arial" w:hAnsi="Arial" w:cs="Arial"/>
        <w:sz w:val="28"/>
        <w:szCs w:val="28"/>
      </w:rPr>
    </w:pPr>
  </w:p>
  <w:p w:rsidR="008E0937" w:rsidRPr="009F443C" w:rsidRDefault="008E0937">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37"/>
    <w:rsid w:val="001A2A80"/>
    <w:rsid w:val="0021007B"/>
    <w:rsid w:val="00267C55"/>
    <w:rsid w:val="00410B00"/>
    <w:rsid w:val="007019F2"/>
    <w:rsid w:val="008E0937"/>
    <w:rsid w:val="009F443C"/>
    <w:rsid w:val="00A82F7B"/>
    <w:rsid w:val="00BB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CFA4D"/>
  <w14:defaultImageDpi w14:val="0"/>
  <w15:docId w15:val="{1F807142-0871-4825-8D78-F08C0041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Sakkal Majalla" w:hAnsi="Sakkal Majalla" w:cs="Sakkal Majalla"/>
      <w:sz w:val="20"/>
      <w:szCs w:val="20"/>
    </w:rPr>
  </w:style>
  <w:style w:type="character" w:customStyle="1" w:styleId="underlin">
    <w:name w:val="underlin"/>
    <w:uiPriority w:val="99"/>
    <w:rPr>
      <w:u w:val="single"/>
    </w:rPr>
  </w:style>
  <w:style w:type="paragraph" w:styleId="Header">
    <w:name w:val="header"/>
    <w:basedOn w:val="Normal"/>
    <w:link w:val="HeaderChar"/>
    <w:uiPriority w:val="99"/>
    <w:unhideWhenUsed/>
    <w:rsid w:val="009F443C"/>
    <w:pPr>
      <w:tabs>
        <w:tab w:val="center" w:pos="4680"/>
        <w:tab w:val="right" w:pos="9360"/>
      </w:tabs>
    </w:pPr>
  </w:style>
  <w:style w:type="character" w:customStyle="1" w:styleId="HeaderChar">
    <w:name w:val="Header Char"/>
    <w:link w:val="Header"/>
    <w:uiPriority w:val="99"/>
    <w:rsid w:val="009F443C"/>
    <w:rPr>
      <w:rFonts w:ascii="Constantia" w:hAnsi="Constantia"/>
      <w:sz w:val="24"/>
      <w:szCs w:val="24"/>
    </w:rPr>
  </w:style>
  <w:style w:type="paragraph" w:styleId="Footer">
    <w:name w:val="footer"/>
    <w:basedOn w:val="Normal"/>
    <w:link w:val="FooterChar"/>
    <w:uiPriority w:val="99"/>
    <w:unhideWhenUsed/>
    <w:rsid w:val="009F443C"/>
    <w:pPr>
      <w:tabs>
        <w:tab w:val="center" w:pos="4680"/>
        <w:tab w:val="right" w:pos="9360"/>
      </w:tabs>
    </w:pPr>
  </w:style>
  <w:style w:type="character" w:customStyle="1" w:styleId="FooterChar">
    <w:name w:val="Footer Char"/>
    <w:link w:val="Footer"/>
    <w:uiPriority w:val="99"/>
    <w:rsid w:val="009F443C"/>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2021-12-15T21:35:00Z</dcterms:created>
  <dcterms:modified xsi:type="dcterms:W3CDTF">2021-12-15T21:35:00Z</dcterms:modified>
</cp:coreProperties>
</file>