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90666" w14:textId="77777777" w:rsidR="00922EC9" w:rsidRDefault="00922EC9" w:rsidP="00A44473">
      <w:pPr>
        <w:widowControl/>
        <w:tabs>
          <w:tab w:val="left" w:pos="720"/>
          <w:tab w:val="left" w:pos="1440"/>
          <w:tab w:val="left" w:pos="2160"/>
          <w:tab w:val="left" w:pos="2880"/>
          <w:tab w:val="left" w:pos="3600"/>
          <w:tab w:val="left" w:pos="4320"/>
          <w:tab w:val="left" w:pos="5040"/>
          <w:tab w:val="left" w:pos="5760"/>
        </w:tabs>
        <w:ind w:left="720" w:hanging="720"/>
        <w:jc w:val="both"/>
        <w:rPr>
          <w:sz w:val="26"/>
          <w:szCs w:val="26"/>
        </w:rPr>
      </w:pPr>
      <w:r>
        <w:rPr>
          <w:b/>
          <w:bCs/>
          <w:sz w:val="26"/>
          <w:szCs w:val="26"/>
        </w:rPr>
        <w:t>805</w:t>
      </w:r>
      <w:r>
        <w:rPr>
          <w:b/>
          <w:bCs/>
          <w:sz w:val="26"/>
          <w:szCs w:val="26"/>
        </w:rPr>
        <w:tab/>
        <w:t>PRIVILEGE:  SELF-DEFENSE:  FORCE INTENDED OR LIKELY TO CAUSE DEATH OR GREAT BODILY HARM — § 939.48</w:t>
      </w:r>
    </w:p>
    <w:p w14:paraId="64C749EC" w14:textId="7F8498BF" w:rsidR="00922EC9" w:rsidRDefault="00922EC9" w:rsidP="00922EC9">
      <w:pPr>
        <w:pStyle w:val="NoSpacing"/>
        <w:rPr>
          <w:sz w:val="26"/>
          <w:szCs w:val="26"/>
        </w:rPr>
      </w:pPr>
    </w:p>
    <w:p w14:paraId="1CE4CEC0" w14:textId="77777777" w:rsidR="00A44473" w:rsidRPr="0049752F" w:rsidRDefault="00A44473" w:rsidP="00922EC9">
      <w:pPr>
        <w:pStyle w:val="NoSpacing"/>
        <w:rPr>
          <w:sz w:val="26"/>
          <w:szCs w:val="26"/>
        </w:rPr>
      </w:pPr>
    </w:p>
    <w:p w14:paraId="4C6BDEE4" w14:textId="77777777" w:rsidR="00922EC9" w:rsidRPr="00922EC9" w:rsidRDefault="00922EC9" w:rsidP="00922EC9">
      <w:pPr>
        <w:pStyle w:val="NoSpacing"/>
        <w:ind w:left="450" w:right="450"/>
        <w:jc w:val="both"/>
        <w:rPr>
          <w:sz w:val="26"/>
          <w:szCs w:val="26"/>
        </w:rPr>
      </w:pPr>
      <w:r w:rsidRPr="00922EC9">
        <w:rPr>
          <w:sz w:val="26"/>
          <w:szCs w:val="26"/>
        </w:rPr>
        <w:t xml:space="preserve">[INSERT THE FOLLOWING </w:t>
      </w:r>
      <w:r w:rsidRPr="00922EC9">
        <w:rPr>
          <w:sz w:val="26"/>
          <w:szCs w:val="26"/>
          <w:u w:val="single"/>
        </w:rPr>
        <w:t>AFTER</w:t>
      </w:r>
      <w:r w:rsidRPr="00922EC9">
        <w:rPr>
          <w:sz w:val="26"/>
          <w:szCs w:val="26"/>
        </w:rPr>
        <w:t xml:space="preserve"> THE ELEMENTS OF THE CRIME ARE DEFINED BUT </w:t>
      </w:r>
      <w:r w:rsidRPr="00922EC9">
        <w:rPr>
          <w:sz w:val="26"/>
          <w:szCs w:val="26"/>
          <w:u w:val="single"/>
        </w:rPr>
        <w:t>BEFORE</w:t>
      </w:r>
      <w:r w:rsidRPr="00922EC9">
        <w:rPr>
          <w:sz w:val="26"/>
          <w:szCs w:val="26"/>
        </w:rPr>
        <w:t xml:space="preserve"> THE CONCLUDING PARAGRAPHS.]</w:t>
      </w:r>
    </w:p>
    <w:p w14:paraId="6152A9D7" w14:textId="77777777" w:rsidR="00922EC9" w:rsidRPr="00922EC9" w:rsidRDefault="00922EC9" w:rsidP="00922EC9">
      <w:pPr>
        <w:pStyle w:val="NoSpacing"/>
        <w:jc w:val="both"/>
        <w:rPr>
          <w:sz w:val="26"/>
          <w:szCs w:val="26"/>
        </w:rPr>
      </w:pPr>
    </w:p>
    <w:p w14:paraId="3B4A9537" w14:textId="77777777" w:rsidR="00922EC9" w:rsidRPr="00922EC9" w:rsidRDefault="00922EC9" w:rsidP="00922EC9">
      <w:pPr>
        <w:pStyle w:val="NoSpacing"/>
        <w:spacing w:line="480" w:lineRule="auto"/>
        <w:jc w:val="center"/>
        <w:rPr>
          <w:b/>
          <w:sz w:val="26"/>
          <w:szCs w:val="26"/>
        </w:rPr>
      </w:pPr>
      <w:r w:rsidRPr="00922EC9">
        <w:rPr>
          <w:b/>
          <w:sz w:val="26"/>
          <w:szCs w:val="26"/>
        </w:rPr>
        <w:t>Self-Defense</w:t>
      </w:r>
    </w:p>
    <w:p w14:paraId="374B3F57" w14:textId="77777777" w:rsidR="00922EC9" w:rsidRPr="00922EC9" w:rsidRDefault="00922EC9" w:rsidP="00922EC9">
      <w:pPr>
        <w:pStyle w:val="NoSpacing"/>
        <w:spacing w:line="480" w:lineRule="auto"/>
        <w:ind w:firstLine="450"/>
        <w:jc w:val="both"/>
        <w:rPr>
          <w:sz w:val="26"/>
          <w:szCs w:val="26"/>
        </w:rPr>
      </w:pPr>
      <w:r w:rsidRPr="00922EC9">
        <w:rPr>
          <w:sz w:val="26"/>
          <w:szCs w:val="26"/>
        </w:rPr>
        <w:t>Self-def</w:t>
      </w:r>
      <w:r w:rsidR="003C3E7E">
        <w:rPr>
          <w:sz w:val="26"/>
          <w:szCs w:val="26"/>
        </w:rPr>
        <w:t xml:space="preserve">ense is an issue in this case. </w:t>
      </w:r>
      <w:r w:rsidRPr="00922EC9">
        <w:rPr>
          <w:sz w:val="26"/>
          <w:szCs w:val="26"/>
        </w:rPr>
        <w:t>The law of self-defense allows the defendant to threaten or intentionally use force against another only if:</w:t>
      </w:r>
    </w:p>
    <w:p w14:paraId="5CC9B6B5" w14:textId="77777777" w:rsidR="00922EC9" w:rsidRPr="00922EC9" w:rsidRDefault="00922EC9" w:rsidP="00922EC9">
      <w:pPr>
        <w:pStyle w:val="NoSpacing"/>
        <w:spacing w:line="480" w:lineRule="auto"/>
        <w:ind w:left="900" w:hanging="450"/>
        <w:jc w:val="both"/>
        <w:rPr>
          <w:sz w:val="26"/>
          <w:szCs w:val="26"/>
        </w:rPr>
      </w:pPr>
      <w:r w:rsidRPr="00922EC9">
        <w:rPr>
          <w:sz w:val="26"/>
          <w:szCs w:val="26"/>
        </w:rPr>
        <w:t>•</w:t>
      </w:r>
      <w:r w:rsidRPr="00922EC9">
        <w:rPr>
          <w:sz w:val="26"/>
          <w:szCs w:val="26"/>
        </w:rPr>
        <w:tab/>
        <w:t>the defendant believed that there was an actual or imminent unlawful interference</w:t>
      </w:r>
      <w:r w:rsidR="003C3E7E">
        <w:rPr>
          <w:sz w:val="26"/>
          <w:szCs w:val="26"/>
          <w:vertAlign w:val="superscript"/>
        </w:rPr>
        <w:t>1</w:t>
      </w:r>
      <w:r w:rsidR="003C3E7E">
        <w:rPr>
          <w:sz w:val="26"/>
          <w:szCs w:val="26"/>
        </w:rPr>
        <w:t xml:space="preserve">  with the defendant’</w:t>
      </w:r>
      <w:r w:rsidRPr="00922EC9">
        <w:rPr>
          <w:sz w:val="26"/>
          <w:szCs w:val="26"/>
        </w:rPr>
        <w:t>s person; and</w:t>
      </w:r>
    </w:p>
    <w:p w14:paraId="4173303F" w14:textId="77777777" w:rsidR="00922EC9" w:rsidRPr="00922EC9" w:rsidRDefault="00922EC9" w:rsidP="00922EC9">
      <w:pPr>
        <w:pStyle w:val="NoSpacing"/>
        <w:spacing w:line="480" w:lineRule="auto"/>
        <w:ind w:left="900" w:hanging="450"/>
        <w:jc w:val="both"/>
        <w:rPr>
          <w:sz w:val="26"/>
          <w:szCs w:val="26"/>
        </w:rPr>
      </w:pPr>
      <w:r w:rsidRPr="00922EC9">
        <w:rPr>
          <w:sz w:val="26"/>
          <w:szCs w:val="26"/>
        </w:rPr>
        <w:t>•</w:t>
      </w:r>
      <w:r w:rsidRPr="00922EC9">
        <w:rPr>
          <w:sz w:val="26"/>
          <w:szCs w:val="26"/>
        </w:rPr>
        <w:tab/>
        <w:t>the defendant believed that the amount of force the defendant used or threatened to use was necessary to prevent or terminate the interference; and</w:t>
      </w:r>
    </w:p>
    <w:p w14:paraId="7B0EA957" w14:textId="77777777" w:rsidR="00922EC9" w:rsidRPr="00922EC9" w:rsidRDefault="003C3E7E" w:rsidP="00922EC9">
      <w:pPr>
        <w:pStyle w:val="NoSpacing"/>
        <w:spacing w:line="480" w:lineRule="auto"/>
        <w:ind w:left="900" w:hanging="450"/>
        <w:jc w:val="both"/>
        <w:rPr>
          <w:sz w:val="26"/>
          <w:szCs w:val="26"/>
        </w:rPr>
      </w:pPr>
      <w:r>
        <w:rPr>
          <w:sz w:val="26"/>
          <w:szCs w:val="26"/>
        </w:rPr>
        <w:t>•</w:t>
      </w:r>
      <w:r>
        <w:rPr>
          <w:sz w:val="26"/>
          <w:szCs w:val="26"/>
        </w:rPr>
        <w:tab/>
        <w:t>the defendant’</w:t>
      </w:r>
      <w:r w:rsidR="00922EC9" w:rsidRPr="00922EC9">
        <w:rPr>
          <w:sz w:val="26"/>
          <w:szCs w:val="26"/>
        </w:rPr>
        <w:t>s beliefs were reasonable.</w:t>
      </w:r>
    </w:p>
    <w:p w14:paraId="7C83613E" w14:textId="77777777" w:rsidR="00922EC9" w:rsidRPr="00922EC9" w:rsidRDefault="00922EC9" w:rsidP="00922EC9">
      <w:pPr>
        <w:pStyle w:val="NoSpacing"/>
        <w:spacing w:line="480" w:lineRule="auto"/>
        <w:ind w:firstLine="450"/>
        <w:jc w:val="both"/>
        <w:rPr>
          <w:sz w:val="26"/>
          <w:szCs w:val="26"/>
        </w:rPr>
      </w:pPr>
      <w:r w:rsidRPr="00922EC9">
        <w:rPr>
          <w:sz w:val="26"/>
          <w:szCs w:val="26"/>
        </w:rPr>
        <w:t>The defendant may intentionally use force which is intended or likely to cause death or great bodily harm only if the defendant reasonably believed that the force used was necessary to prevent imminent death or great bodily harm to (himself) (herself).</w:t>
      </w:r>
    </w:p>
    <w:p w14:paraId="5736846E" w14:textId="77777777" w:rsidR="00922EC9" w:rsidRPr="00922EC9" w:rsidRDefault="00922EC9" w:rsidP="00922EC9">
      <w:pPr>
        <w:pStyle w:val="NoSpacing"/>
        <w:spacing w:line="480" w:lineRule="auto"/>
        <w:jc w:val="center"/>
        <w:rPr>
          <w:b/>
          <w:sz w:val="26"/>
          <w:szCs w:val="26"/>
        </w:rPr>
      </w:pPr>
      <w:r w:rsidRPr="00922EC9">
        <w:rPr>
          <w:b/>
          <w:sz w:val="26"/>
          <w:szCs w:val="26"/>
        </w:rPr>
        <w:t>Determining Whether Beliefs Were Reasonable</w:t>
      </w:r>
    </w:p>
    <w:p w14:paraId="61834201" w14:textId="77777777" w:rsidR="00922EC9" w:rsidRPr="00922EC9" w:rsidRDefault="00922EC9" w:rsidP="00922EC9">
      <w:pPr>
        <w:pStyle w:val="NoSpacing"/>
        <w:spacing w:line="480" w:lineRule="auto"/>
        <w:ind w:firstLine="450"/>
        <w:jc w:val="both"/>
        <w:rPr>
          <w:sz w:val="26"/>
          <w:szCs w:val="26"/>
        </w:rPr>
      </w:pPr>
      <w:r w:rsidRPr="00922EC9">
        <w:rPr>
          <w:sz w:val="26"/>
          <w:szCs w:val="26"/>
        </w:rPr>
        <w:t>A belief may be reasonable even though mistaken.</w:t>
      </w:r>
      <w:r w:rsidR="003C3E7E">
        <w:rPr>
          <w:sz w:val="26"/>
          <w:szCs w:val="26"/>
          <w:vertAlign w:val="superscript"/>
        </w:rPr>
        <w:t>2</w:t>
      </w:r>
      <w:r w:rsidR="003C3E7E">
        <w:rPr>
          <w:sz w:val="26"/>
          <w:szCs w:val="26"/>
        </w:rPr>
        <w:t xml:space="preserve"> </w:t>
      </w:r>
      <w:r w:rsidRPr="00922EC9">
        <w:rPr>
          <w:sz w:val="26"/>
          <w:szCs w:val="26"/>
        </w:rPr>
        <w:t>In de</w:t>
      </w:r>
      <w:r w:rsidR="003C3E7E">
        <w:rPr>
          <w:sz w:val="26"/>
          <w:szCs w:val="26"/>
        </w:rPr>
        <w:t>termining whether the defendant’</w:t>
      </w:r>
      <w:r w:rsidRPr="00922EC9">
        <w:rPr>
          <w:sz w:val="26"/>
          <w:szCs w:val="26"/>
        </w:rPr>
        <w:t>s beliefs were reasonable, the standard is what a person of ordinary intelligence and prudence would have believed in the defe</w:t>
      </w:r>
      <w:r w:rsidR="003C3E7E">
        <w:rPr>
          <w:sz w:val="26"/>
          <w:szCs w:val="26"/>
        </w:rPr>
        <w:t>ndant’</w:t>
      </w:r>
      <w:r w:rsidRPr="00922EC9">
        <w:rPr>
          <w:sz w:val="26"/>
          <w:szCs w:val="26"/>
        </w:rPr>
        <w:t>s position under the circumstances that existed at the</w:t>
      </w:r>
      <w:r w:rsidR="003C3E7E">
        <w:rPr>
          <w:sz w:val="26"/>
          <w:szCs w:val="26"/>
        </w:rPr>
        <w:t xml:space="preserve"> time of the alleged offense.</w:t>
      </w:r>
      <w:r w:rsidR="003C3E7E">
        <w:rPr>
          <w:sz w:val="26"/>
          <w:szCs w:val="26"/>
          <w:vertAlign w:val="superscript"/>
        </w:rPr>
        <w:t>3</w:t>
      </w:r>
      <w:r w:rsidR="003C3E7E">
        <w:rPr>
          <w:sz w:val="26"/>
          <w:szCs w:val="26"/>
        </w:rPr>
        <w:t xml:space="preserve"> </w:t>
      </w:r>
      <w:r w:rsidRPr="00922EC9">
        <w:rPr>
          <w:sz w:val="26"/>
          <w:szCs w:val="26"/>
        </w:rPr>
        <w:t xml:space="preserve">The </w:t>
      </w:r>
      <w:r w:rsidR="003C3E7E">
        <w:rPr>
          <w:sz w:val="26"/>
          <w:szCs w:val="26"/>
        </w:rPr>
        <w:t>reasonableness of the defendant’</w:t>
      </w:r>
      <w:r w:rsidRPr="00922EC9">
        <w:rPr>
          <w:sz w:val="26"/>
          <w:szCs w:val="26"/>
        </w:rPr>
        <w:t>s beliefs must be determined from the standpoint of the defenda</w:t>
      </w:r>
      <w:r w:rsidR="003C3E7E">
        <w:rPr>
          <w:sz w:val="26"/>
          <w:szCs w:val="26"/>
        </w:rPr>
        <w:t>nt at the time of the defendant’</w:t>
      </w:r>
      <w:r w:rsidRPr="00922EC9">
        <w:rPr>
          <w:sz w:val="26"/>
          <w:szCs w:val="26"/>
        </w:rPr>
        <w:t xml:space="preserve">s acts </w:t>
      </w:r>
      <w:r w:rsidRPr="00922EC9">
        <w:rPr>
          <w:sz w:val="26"/>
          <w:szCs w:val="26"/>
        </w:rPr>
        <w:lastRenderedPageBreak/>
        <w:t>and not from the viewpoint of the jury now.</w:t>
      </w:r>
    </w:p>
    <w:p w14:paraId="03881C99" w14:textId="77777777" w:rsidR="00922EC9" w:rsidRDefault="00922EC9" w:rsidP="00922EC9">
      <w:pPr>
        <w:pStyle w:val="NoSpacing"/>
        <w:ind w:left="450" w:right="450"/>
        <w:jc w:val="both"/>
        <w:rPr>
          <w:sz w:val="26"/>
          <w:szCs w:val="26"/>
        </w:rPr>
      </w:pPr>
      <w:r w:rsidRPr="00922EC9">
        <w:rPr>
          <w:sz w:val="26"/>
          <w:szCs w:val="26"/>
        </w:rPr>
        <w:t>[IF RETREAT IS AN ISSUE, ADD APPROPRIAT</w:t>
      </w:r>
      <w:r w:rsidR="003C3E7E">
        <w:rPr>
          <w:sz w:val="26"/>
          <w:szCs w:val="26"/>
        </w:rPr>
        <w:t>E INSTRUCTION HERE – SEE WIS JI-</w:t>
      </w:r>
      <w:r w:rsidRPr="00922EC9">
        <w:rPr>
          <w:sz w:val="26"/>
          <w:szCs w:val="26"/>
        </w:rPr>
        <w:t>CRIMINAL 810.]</w:t>
      </w:r>
    </w:p>
    <w:p w14:paraId="17BDD334" w14:textId="77777777" w:rsidR="00922EC9" w:rsidRPr="00922EC9" w:rsidRDefault="00922EC9" w:rsidP="00922EC9">
      <w:pPr>
        <w:pStyle w:val="NoSpacing"/>
        <w:ind w:left="450" w:right="450"/>
        <w:jc w:val="both"/>
        <w:rPr>
          <w:sz w:val="26"/>
          <w:szCs w:val="26"/>
        </w:rPr>
      </w:pPr>
    </w:p>
    <w:p w14:paraId="685C3F84" w14:textId="77777777" w:rsidR="00922EC9" w:rsidRDefault="00922EC9" w:rsidP="00922EC9">
      <w:pPr>
        <w:pStyle w:val="NoSpacing"/>
        <w:ind w:left="450" w:right="450"/>
        <w:jc w:val="both"/>
        <w:rPr>
          <w:sz w:val="26"/>
          <w:szCs w:val="26"/>
        </w:rPr>
      </w:pPr>
      <w:r w:rsidRPr="00922EC9">
        <w:rPr>
          <w:sz w:val="26"/>
          <w:szCs w:val="26"/>
        </w:rPr>
        <w:t>[IF THERE IS EVIDENCE THAT THE DEFENDANT PROVOKED THE ATTACK, ADD APPROPRIAT</w:t>
      </w:r>
      <w:r w:rsidR="003C3E7E">
        <w:rPr>
          <w:sz w:val="26"/>
          <w:szCs w:val="26"/>
        </w:rPr>
        <w:t>E INSTRUCTION HERE – SEE WIS JI-</w:t>
      </w:r>
      <w:r w:rsidRPr="00922EC9">
        <w:rPr>
          <w:sz w:val="26"/>
          <w:szCs w:val="26"/>
        </w:rPr>
        <w:t>CRIMINAL 815.]</w:t>
      </w:r>
    </w:p>
    <w:p w14:paraId="35FD8BB0" w14:textId="77777777" w:rsidR="00922EC9" w:rsidRPr="00922EC9" w:rsidRDefault="00922EC9" w:rsidP="00922EC9">
      <w:pPr>
        <w:pStyle w:val="NoSpacing"/>
        <w:ind w:left="450" w:right="450"/>
        <w:jc w:val="both"/>
        <w:rPr>
          <w:sz w:val="26"/>
          <w:szCs w:val="26"/>
        </w:rPr>
      </w:pPr>
    </w:p>
    <w:p w14:paraId="5AE4A585" w14:textId="77777777" w:rsidR="00922EC9" w:rsidRPr="00922EC9" w:rsidRDefault="00922EC9" w:rsidP="00922EC9">
      <w:pPr>
        <w:pStyle w:val="NoSpacing"/>
        <w:spacing w:line="480" w:lineRule="auto"/>
        <w:jc w:val="center"/>
        <w:rPr>
          <w:b/>
          <w:sz w:val="26"/>
          <w:szCs w:val="26"/>
        </w:rPr>
      </w:pPr>
      <w:r>
        <w:rPr>
          <w:b/>
          <w:sz w:val="26"/>
          <w:szCs w:val="26"/>
        </w:rPr>
        <w:t>State’</w:t>
      </w:r>
      <w:r w:rsidRPr="00922EC9">
        <w:rPr>
          <w:b/>
          <w:sz w:val="26"/>
          <w:szCs w:val="26"/>
        </w:rPr>
        <w:t>s Burden of Proof</w:t>
      </w:r>
    </w:p>
    <w:p w14:paraId="10AEBD34" w14:textId="77777777" w:rsidR="00922EC9" w:rsidRPr="00922EC9" w:rsidRDefault="00922EC9" w:rsidP="00922EC9">
      <w:pPr>
        <w:pStyle w:val="NoSpacing"/>
        <w:spacing w:line="480" w:lineRule="auto"/>
        <w:ind w:firstLine="450"/>
        <w:jc w:val="both"/>
        <w:rPr>
          <w:sz w:val="26"/>
          <w:szCs w:val="26"/>
        </w:rPr>
      </w:pPr>
      <w:r w:rsidRPr="00922EC9">
        <w:rPr>
          <w:sz w:val="26"/>
          <w:szCs w:val="26"/>
        </w:rPr>
        <w:t>The State must prove by evidence which satisfies you beyond a reasonable doubt that the defendant did not act lawfully in self-defense.</w:t>
      </w:r>
    </w:p>
    <w:p w14:paraId="1A9D3E39" w14:textId="77777777" w:rsidR="00922EC9" w:rsidRPr="00922EC9" w:rsidRDefault="00922EC9" w:rsidP="00922EC9">
      <w:pPr>
        <w:pStyle w:val="NoSpacing"/>
        <w:spacing w:line="480" w:lineRule="auto"/>
        <w:jc w:val="center"/>
        <w:rPr>
          <w:b/>
          <w:sz w:val="26"/>
          <w:szCs w:val="26"/>
        </w:rPr>
      </w:pPr>
      <w:r>
        <w:rPr>
          <w:b/>
          <w:sz w:val="26"/>
          <w:szCs w:val="26"/>
        </w:rPr>
        <w:t>Jury’</w:t>
      </w:r>
      <w:r w:rsidRPr="00922EC9">
        <w:rPr>
          <w:b/>
          <w:sz w:val="26"/>
          <w:szCs w:val="26"/>
        </w:rPr>
        <w:t>s Decision</w:t>
      </w:r>
    </w:p>
    <w:p w14:paraId="1D68CB61" w14:textId="77777777" w:rsidR="00922EC9" w:rsidRPr="00922EC9" w:rsidRDefault="00922EC9" w:rsidP="00922EC9">
      <w:pPr>
        <w:pStyle w:val="NoSpacing"/>
        <w:spacing w:line="480" w:lineRule="auto"/>
        <w:ind w:firstLine="450"/>
        <w:jc w:val="both"/>
        <w:rPr>
          <w:sz w:val="26"/>
          <w:szCs w:val="26"/>
        </w:rPr>
      </w:pPr>
      <w:r w:rsidRPr="00922EC9">
        <w:rPr>
          <w:sz w:val="26"/>
          <w:szCs w:val="26"/>
        </w:rPr>
        <w:t xml:space="preserve">If you are satisfied beyond a reasonable doubt that all </w:t>
      </w:r>
      <w:r w:rsidRPr="00922EC9">
        <w:rPr>
          <w:sz w:val="26"/>
          <w:szCs w:val="26"/>
          <w:u w:val="single"/>
        </w:rPr>
        <w:t xml:space="preserve">    </w:t>
      </w:r>
      <w:r w:rsidRPr="00922EC9">
        <w:rPr>
          <w:sz w:val="26"/>
          <w:szCs w:val="26"/>
        </w:rPr>
        <w:t xml:space="preserve"> elements of </w:t>
      </w:r>
      <w:r w:rsidRPr="00922EC9">
        <w:rPr>
          <w:sz w:val="26"/>
          <w:szCs w:val="26"/>
          <w:u w:val="single"/>
        </w:rPr>
        <w:t xml:space="preserve">            </w:t>
      </w:r>
      <w:r w:rsidR="0075758D">
        <w:rPr>
          <w:sz w:val="26"/>
          <w:szCs w:val="26"/>
          <w:u w:val="single"/>
          <w:vertAlign w:val="superscript"/>
        </w:rPr>
        <w:t>4</w:t>
      </w:r>
      <w:r w:rsidRPr="00922EC9">
        <w:rPr>
          <w:sz w:val="26"/>
          <w:szCs w:val="26"/>
        </w:rPr>
        <w:t xml:space="preserve"> have been proved and that the defenda</w:t>
      </w:r>
      <w:r w:rsidR="003C3E7E">
        <w:rPr>
          <w:sz w:val="26"/>
          <w:szCs w:val="26"/>
        </w:rPr>
        <w:t>nt did not act lawfully in self-</w:t>
      </w:r>
      <w:r w:rsidRPr="00922EC9">
        <w:rPr>
          <w:sz w:val="26"/>
          <w:szCs w:val="26"/>
        </w:rPr>
        <w:t>defense, you should find the defendant guilty.</w:t>
      </w:r>
    </w:p>
    <w:p w14:paraId="584F0454" w14:textId="77777777" w:rsidR="00922EC9" w:rsidRDefault="00922EC9" w:rsidP="0049752F">
      <w:pPr>
        <w:pStyle w:val="NoSpacing"/>
        <w:ind w:firstLine="450"/>
        <w:jc w:val="both"/>
        <w:rPr>
          <w:sz w:val="26"/>
          <w:szCs w:val="26"/>
        </w:rPr>
      </w:pPr>
      <w:r w:rsidRPr="00922EC9">
        <w:rPr>
          <w:sz w:val="26"/>
          <w:szCs w:val="26"/>
        </w:rPr>
        <w:t>If you are not so satisfied, you must find the defendant not guilty.</w:t>
      </w:r>
    </w:p>
    <w:p w14:paraId="6A65FE47" w14:textId="1CED19C4" w:rsidR="003C3E7E" w:rsidRDefault="003C3E7E" w:rsidP="0049752F">
      <w:pPr>
        <w:pStyle w:val="NoSpacing"/>
        <w:jc w:val="both"/>
        <w:rPr>
          <w:sz w:val="26"/>
          <w:szCs w:val="26"/>
        </w:rPr>
      </w:pPr>
    </w:p>
    <w:p w14:paraId="4F022B93" w14:textId="1A29474A" w:rsidR="0049752F" w:rsidRDefault="0049752F" w:rsidP="0049752F">
      <w:pPr>
        <w:pStyle w:val="NoSpacing"/>
        <w:jc w:val="both"/>
        <w:rPr>
          <w:sz w:val="26"/>
          <w:szCs w:val="26"/>
        </w:rPr>
      </w:pPr>
    </w:p>
    <w:p w14:paraId="3CA08FBD" w14:textId="78B6BAFC" w:rsidR="0049752F" w:rsidRDefault="0049752F" w:rsidP="0049752F">
      <w:pPr>
        <w:pStyle w:val="NoSpacing"/>
        <w:jc w:val="both"/>
        <w:rPr>
          <w:sz w:val="26"/>
          <w:szCs w:val="26"/>
        </w:rPr>
      </w:pPr>
    </w:p>
    <w:p w14:paraId="15303FCC" w14:textId="512E0A54" w:rsidR="00A44473" w:rsidRDefault="00A44473" w:rsidP="0049752F">
      <w:pPr>
        <w:pStyle w:val="NoSpacing"/>
        <w:jc w:val="both"/>
        <w:rPr>
          <w:sz w:val="26"/>
          <w:szCs w:val="26"/>
        </w:rPr>
      </w:pPr>
    </w:p>
    <w:p w14:paraId="534ACC61" w14:textId="616A2CDA" w:rsidR="00A44473" w:rsidRDefault="00A44473" w:rsidP="0049752F">
      <w:pPr>
        <w:pStyle w:val="NoSpacing"/>
        <w:jc w:val="both"/>
        <w:rPr>
          <w:sz w:val="26"/>
          <w:szCs w:val="26"/>
        </w:rPr>
      </w:pPr>
    </w:p>
    <w:p w14:paraId="65D8DBFB" w14:textId="77777777" w:rsidR="003C3E7E" w:rsidRPr="003C3E7E" w:rsidRDefault="003C3E7E" w:rsidP="0049752F">
      <w:pPr>
        <w:pStyle w:val="NoSpacing"/>
        <w:jc w:val="both"/>
        <w:rPr>
          <w:b/>
          <w:sz w:val="22"/>
          <w:szCs w:val="22"/>
        </w:rPr>
      </w:pPr>
      <w:r w:rsidRPr="003C3E7E">
        <w:rPr>
          <w:b/>
          <w:sz w:val="22"/>
          <w:szCs w:val="22"/>
        </w:rPr>
        <w:t>COMMENT</w:t>
      </w:r>
    </w:p>
    <w:p w14:paraId="4B7C257E" w14:textId="77777777" w:rsidR="003C3E7E" w:rsidRPr="003C3E7E" w:rsidRDefault="003C3E7E" w:rsidP="003C3E7E">
      <w:pPr>
        <w:pStyle w:val="NoSpacing"/>
        <w:jc w:val="both"/>
        <w:rPr>
          <w:sz w:val="22"/>
          <w:szCs w:val="22"/>
        </w:rPr>
      </w:pPr>
    </w:p>
    <w:p w14:paraId="74B72F88" w14:textId="29C1D3EC" w:rsidR="003C3E7E" w:rsidRPr="00CD53F4" w:rsidRDefault="003C3E7E" w:rsidP="003C3E7E">
      <w:pPr>
        <w:pStyle w:val="NoSpacing"/>
        <w:ind w:firstLine="450"/>
        <w:jc w:val="both"/>
        <w:rPr>
          <w:sz w:val="22"/>
          <w:szCs w:val="22"/>
        </w:rPr>
      </w:pPr>
      <w:r w:rsidRPr="00CD53F4">
        <w:rPr>
          <w:sz w:val="22"/>
          <w:szCs w:val="22"/>
        </w:rPr>
        <w:t xml:space="preserve">Wis JI-Criminal 805 was originally published in 1966 and </w:t>
      </w:r>
      <w:r w:rsidRPr="008E35DD">
        <w:rPr>
          <w:sz w:val="22"/>
          <w:szCs w:val="22"/>
        </w:rPr>
        <w:t>revised in 1993</w:t>
      </w:r>
      <w:r w:rsidR="002E691F" w:rsidRPr="008E35DD">
        <w:rPr>
          <w:sz w:val="22"/>
          <w:szCs w:val="22"/>
        </w:rPr>
        <w:t>,</w:t>
      </w:r>
      <w:r w:rsidR="00C17EFC" w:rsidRPr="008E35DD">
        <w:rPr>
          <w:sz w:val="22"/>
          <w:szCs w:val="22"/>
        </w:rPr>
        <w:t xml:space="preserve"> 2001</w:t>
      </w:r>
      <w:r w:rsidR="002E691F" w:rsidRPr="008E35DD">
        <w:rPr>
          <w:sz w:val="22"/>
          <w:szCs w:val="22"/>
        </w:rPr>
        <w:t>, and 2021</w:t>
      </w:r>
      <w:r w:rsidR="00CD53F4" w:rsidRPr="008E35DD">
        <w:rPr>
          <w:sz w:val="22"/>
          <w:szCs w:val="22"/>
        </w:rPr>
        <w:t xml:space="preserve">. </w:t>
      </w:r>
      <w:r w:rsidR="002E691F" w:rsidRPr="008E35DD">
        <w:rPr>
          <w:sz w:val="22"/>
          <w:szCs w:val="22"/>
        </w:rPr>
        <w:t>This revision was approved by the Committee in June 2023; it added to the comment.</w:t>
      </w:r>
    </w:p>
    <w:p w14:paraId="32A76FAA" w14:textId="77777777" w:rsidR="003C3E7E" w:rsidRPr="003C3E7E" w:rsidRDefault="003C3E7E" w:rsidP="003C3E7E">
      <w:pPr>
        <w:pStyle w:val="NoSpacing"/>
        <w:jc w:val="both"/>
        <w:rPr>
          <w:sz w:val="22"/>
          <w:szCs w:val="22"/>
        </w:rPr>
      </w:pPr>
    </w:p>
    <w:p w14:paraId="5C739EF4" w14:textId="77777777" w:rsidR="003C3E7E" w:rsidRDefault="003C3E7E" w:rsidP="003C3E7E">
      <w:pPr>
        <w:pStyle w:val="NoSpacing"/>
        <w:ind w:firstLine="450"/>
        <w:jc w:val="both"/>
        <w:rPr>
          <w:sz w:val="22"/>
          <w:szCs w:val="22"/>
        </w:rPr>
      </w:pPr>
      <w:r w:rsidRPr="003C3E7E">
        <w:rPr>
          <w:sz w:val="22"/>
          <w:szCs w:val="22"/>
        </w:rPr>
        <w:t>The 1994 revision of this instruction changed its format to allow inte</w:t>
      </w:r>
      <w:r>
        <w:rPr>
          <w:sz w:val="22"/>
          <w:szCs w:val="22"/>
        </w:rPr>
        <w:t>grating the description of self-</w:t>
      </w:r>
      <w:r w:rsidRPr="003C3E7E">
        <w:rPr>
          <w:sz w:val="22"/>
          <w:szCs w:val="22"/>
        </w:rPr>
        <w:t>defense with the instruction for the crime char</w:t>
      </w:r>
      <w:r>
        <w:rPr>
          <w:sz w:val="22"/>
          <w:szCs w:val="22"/>
        </w:rPr>
        <w:t>ged.  See the Comment to Wis JI-</w:t>
      </w:r>
      <w:r w:rsidRPr="003C3E7E">
        <w:rPr>
          <w:sz w:val="22"/>
          <w:szCs w:val="22"/>
        </w:rPr>
        <w:t>Criminal 800.  Instructions for homicide offenses include models for cases inv</w:t>
      </w:r>
      <w:r>
        <w:rPr>
          <w:sz w:val="22"/>
          <w:szCs w:val="22"/>
        </w:rPr>
        <w:t>olving self-defense. See Wis JI-</w:t>
      </w:r>
      <w:r w:rsidRPr="003C3E7E">
        <w:rPr>
          <w:sz w:val="22"/>
          <w:szCs w:val="22"/>
        </w:rPr>
        <w:t>Criminal 1014, 1016, 1017, and 1022.</w:t>
      </w:r>
    </w:p>
    <w:p w14:paraId="32F0E253" w14:textId="77777777" w:rsidR="00A745AA" w:rsidRDefault="00A745AA" w:rsidP="003C3E7E">
      <w:pPr>
        <w:pStyle w:val="NoSpacing"/>
        <w:jc w:val="both"/>
        <w:rPr>
          <w:sz w:val="22"/>
          <w:szCs w:val="22"/>
        </w:rPr>
      </w:pPr>
    </w:p>
    <w:p w14:paraId="27BA1F28" w14:textId="6BB2F9F4" w:rsidR="00C17EFC" w:rsidRPr="00CD53F4" w:rsidRDefault="00C17EFC" w:rsidP="00A745AA">
      <w:pPr>
        <w:pStyle w:val="NoSpacing"/>
        <w:ind w:firstLine="450"/>
        <w:jc w:val="both"/>
        <w:rPr>
          <w:rFonts w:eastAsiaTheme="minorHAnsi"/>
          <w:sz w:val="22"/>
          <w:szCs w:val="22"/>
        </w:rPr>
      </w:pPr>
      <w:r w:rsidRPr="00CD53F4">
        <w:rPr>
          <w:rFonts w:eastAsiaTheme="minorHAnsi"/>
          <w:sz w:val="22"/>
          <w:szCs w:val="22"/>
        </w:rPr>
        <w:t xml:space="preserve">Wisconsin law establishes a “low bar” that the defendant must </w:t>
      </w:r>
      <w:r w:rsidR="004471DF" w:rsidRPr="00CD53F4">
        <w:rPr>
          <w:rFonts w:eastAsiaTheme="minorHAnsi"/>
          <w:sz w:val="22"/>
          <w:szCs w:val="22"/>
        </w:rPr>
        <w:t xml:space="preserve">overcome </w:t>
      </w:r>
      <w:r w:rsidRPr="00CD53F4">
        <w:rPr>
          <w:rFonts w:eastAsiaTheme="minorHAnsi"/>
          <w:sz w:val="22"/>
          <w:szCs w:val="22"/>
        </w:rPr>
        <w:t xml:space="preserve">to be entitled to a jury </w:t>
      </w:r>
      <w:r w:rsidRPr="008E35DD">
        <w:rPr>
          <w:rFonts w:eastAsiaTheme="minorHAnsi"/>
          <w:sz w:val="22"/>
          <w:szCs w:val="22"/>
        </w:rPr>
        <w:t xml:space="preserve">instruction on the privilege of self-defense. </w:t>
      </w:r>
      <w:r w:rsidRPr="008E35DD">
        <w:rPr>
          <w:rFonts w:eastAsiaTheme="minorHAnsi"/>
          <w:sz w:val="22"/>
          <w:szCs w:val="22"/>
          <w:u w:val="single"/>
        </w:rPr>
        <w:t>State v. Stietz</w:t>
      </w:r>
      <w:r w:rsidR="006535A7" w:rsidRPr="008E35DD">
        <w:rPr>
          <w:rFonts w:eastAsiaTheme="minorHAnsi"/>
          <w:sz w:val="22"/>
          <w:szCs w:val="22"/>
        </w:rPr>
        <w:t>, 2017 WI 58, ¶16</w:t>
      </w:r>
      <w:r w:rsidRPr="008E35DD">
        <w:rPr>
          <w:rFonts w:eastAsiaTheme="minorHAnsi"/>
          <w:sz w:val="22"/>
          <w:szCs w:val="22"/>
        </w:rPr>
        <w:t xml:space="preserve">, 375 Wis.2d 572, 895 N.W.2d 796 citing </w:t>
      </w:r>
      <w:r w:rsidRPr="008E35DD">
        <w:rPr>
          <w:rFonts w:eastAsiaTheme="minorHAnsi"/>
          <w:sz w:val="22"/>
          <w:szCs w:val="22"/>
          <w:u w:val="single"/>
        </w:rPr>
        <w:t>State v. Schmidt</w:t>
      </w:r>
      <w:r w:rsidRPr="008E35DD">
        <w:rPr>
          <w:rFonts w:eastAsiaTheme="minorHAnsi"/>
          <w:sz w:val="22"/>
          <w:szCs w:val="22"/>
        </w:rPr>
        <w:t xml:space="preserve">, 2012 WI App 113, ¶12, 344 Wis. 2d 336, 824 N.W.2d 839. </w:t>
      </w:r>
      <w:r w:rsidR="00A745AA" w:rsidRPr="008E35DD">
        <w:rPr>
          <w:rFonts w:eastAsiaTheme="minorHAnsi"/>
          <w:sz w:val="22"/>
          <w:szCs w:val="22"/>
        </w:rPr>
        <w:t>A defendant need</w:t>
      </w:r>
      <w:r w:rsidR="0054666C">
        <w:rPr>
          <w:rFonts w:eastAsiaTheme="minorHAnsi"/>
          <w:sz w:val="22"/>
          <w:szCs w:val="22"/>
        </w:rPr>
        <w:t>s</w:t>
      </w:r>
      <w:bookmarkStart w:id="0" w:name="_GoBack"/>
      <w:bookmarkEnd w:id="0"/>
      <w:r w:rsidR="00A745AA" w:rsidRPr="008E35DD">
        <w:rPr>
          <w:rFonts w:eastAsiaTheme="minorHAnsi"/>
          <w:sz w:val="22"/>
          <w:szCs w:val="22"/>
        </w:rPr>
        <w:t xml:space="preserve"> </w:t>
      </w:r>
      <w:r w:rsidR="00A745AA" w:rsidRPr="008E35DD">
        <w:rPr>
          <w:rFonts w:eastAsiaTheme="minorHAnsi"/>
          <w:sz w:val="22"/>
          <w:szCs w:val="22"/>
        </w:rPr>
        <w:lastRenderedPageBreak/>
        <w:t>only to produce “</w:t>
      </w:r>
      <w:r w:rsidR="00A745AA" w:rsidRPr="008E35DD">
        <w:rPr>
          <w:rFonts w:eastAsiaTheme="minorHAnsi"/>
          <w:b/>
          <w:sz w:val="22"/>
          <w:szCs w:val="22"/>
        </w:rPr>
        <w:t>some evidence</w:t>
      </w:r>
      <w:r w:rsidR="00A745AA" w:rsidRPr="008E35DD">
        <w:rPr>
          <w:rFonts w:eastAsiaTheme="minorHAnsi"/>
          <w:sz w:val="22"/>
          <w:szCs w:val="22"/>
        </w:rPr>
        <w:t xml:space="preserve">” in support of the privilege of self-defense. </w:t>
      </w:r>
      <w:r w:rsidR="00A745AA" w:rsidRPr="008E35DD">
        <w:rPr>
          <w:rFonts w:eastAsiaTheme="minorHAnsi"/>
          <w:sz w:val="22"/>
          <w:szCs w:val="22"/>
          <w:u w:val="single"/>
        </w:rPr>
        <w:t>Stietz</w:t>
      </w:r>
      <w:r w:rsidR="00A745AA" w:rsidRPr="008E35DD">
        <w:rPr>
          <w:rFonts w:eastAsiaTheme="minorHAnsi"/>
          <w:sz w:val="22"/>
          <w:szCs w:val="22"/>
        </w:rPr>
        <w:t xml:space="preserve">, </w:t>
      </w:r>
      <w:r w:rsidR="00A745AA" w:rsidRPr="008E35DD">
        <w:rPr>
          <w:rFonts w:eastAsiaTheme="minorHAnsi"/>
          <w:sz w:val="22"/>
          <w:szCs w:val="22"/>
          <w:u w:val="single"/>
        </w:rPr>
        <w:t>supra</w:t>
      </w:r>
      <w:r w:rsidR="00A745AA" w:rsidRPr="008E35DD">
        <w:rPr>
          <w:rFonts w:eastAsiaTheme="minorHAnsi"/>
          <w:sz w:val="22"/>
          <w:szCs w:val="22"/>
        </w:rPr>
        <w:t xml:space="preserve">, at ¶16 (emphasis added). See also, </w:t>
      </w:r>
      <w:r w:rsidR="00A745AA" w:rsidRPr="008E35DD">
        <w:rPr>
          <w:rFonts w:eastAsiaTheme="minorHAnsi"/>
          <w:sz w:val="22"/>
          <w:szCs w:val="22"/>
          <w:u w:val="single"/>
        </w:rPr>
        <w:t>State v. Head</w:t>
      </w:r>
      <w:r w:rsidR="00A745AA" w:rsidRPr="008E35DD">
        <w:rPr>
          <w:rFonts w:eastAsiaTheme="minorHAnsi"/>
          <w:sz w:val="22"/>
          <w:szCs w:val="22"/>
        </w:rPr>
        <w:t xml:space="preserve">, 2002 WI 99, ¶112, 255 Wis.2d 194, 648 N.W.2d 413. Evidence satisfies the “some evidence” quantum of evidence even if it is “weak, insufficient, inconsistent, or of doubtful credibility” or “slight.” </w:t>
      </w:r>
      <w:r w:rsidR="00A745AA" w:rsidRPr="008E35DD">
        <w:rPr>
          <w:rFonts w:eastAsiaTheme="minorHAnsi"/>
          <w:sz w:val="22"/>
          <w:szCs w:val="22"/>
          <w:u w:val="single"/>
        </w:rPr>
        <w:t>State v. Schuman</w:t>
      </w:r>
      <w:r w:rsidR="00A745AA" w:rsidRPr="008E35DD">
        <w:rPr>
          <w:rFonts w:eastAsiaTheme="minorHAnsi"/>
          <w:sz w:val="22"/>
          <w:szCs w:val="22"/>
        </w:rPr>
        <w:t>, 226 Wis. 2d 398, 404, 595 N.W.2d 86 (Ct. App. 1999). Though the burden</w:t>
      </w:r>
      <w:r w:rsidR="0054666C">
        <w:rPr>
          <w:rFonts w:eastAsiaTheme="minorHAnsi"/>
          <w:sz w:val="22"/>
          <w:szCs w:val="22"/>
        </w:rPr>
        <w:t xml:space="preserve"> of producing “some evidence” of</w:t>
      </w:r>
      <w:r w:rsidR="00A745AA" w:rsidRPr="008E35DD">
        <w:rPr>
          <w:rFonts w:eastAsiaTheme="minorHAnsi"/>
          <w:sz w:val="22"/>
          <w:szCs w:val="22"/>
        </w:rPr>
        <w:t xml:space="preserve"> a defense is commonly referred to as the defendant’s burden</w:t>
      </w:r>
      <w:r w:rsidR="0054666C">
        <w:rPr>
          <w:rFonts w:eastAsiaTheme="minorHAnsi"/>
          <w:sz w:val="22"/>
          <w:szCs w:val="22"/>
        </w:rPr>
        <w:t>,</w:t>
      </w:r>
      <w:r w:rsidR="00A745AA" w:rsidRPr="008E35DD">
        <w:rPr>
          <w:rFonts w:eastAsiaTheme="minorHAnsi"/>
          <w:sz w:val="22"/>
          <w:szCs w:val="22"/>
        </w:rPr>
        <w:t xml:space="preserve"> that is not literally correct. The source of the evidence may be facts presented by the prosecution, facts elicited from prosecution witnesses by defense cross-examination, or evidence affirmatively presented by the defense. </w:t>
      </w:r>
      <w:r w:rsidR="00A745AA" w:rsidRPr="008E35DD">
        <w:rPr>
          <w:rFonts w:eastAsiaTheme="minorHAnsi"/>
          <w:sz w:val="22"/>
          <w:szCs w:val="22"/>
          <w:u w:val="single"/>
        </w:rPr>
        <w:t>State v. Coleman</w:t>
      </w:r>
      <w:r w:rsidR="00A745AA" w:rsidRPr="008E35DD">
        <w:rPr>
          <w:rFonts w:eastAsiaTheme="minorHAnsi"/>
          <w:sz w:val="22"/>
          <w:szCs w:val="22"/>
        </w:rPr>
        <w:t xml:space="preserve">, 206 Wis.2d 199, 214, 556 N.W.2d 701 (1996). </w:t>
      </w:r>
      <w:r w:rsidRPr="008E35DD">
        <w:rPr>
          <w:rFonts w:eastAsiaTheme="minorHAnsi"/>
          <w:sz w:val="22"/>
          <w:szCs w:val="22"/>
        </w:rPr>
        <w:t xml:space="preserve">When applying the “some evidence” standard, a court is not to weigh the testimony, as this would invade that province of the jury. </w:t>
      </w:r>
      <w:r w:rsidRPr="008E35DD">
        <w:rPr>
          <w:rFonts w:eastAsiaTheme="minorHAnsi"/>
          <w:sz w:val="22"/>
          <w:szCs w:val="22"/>
          <w:u w:val="single"/>
        </w:rPr>
        <w:t>Stiez</w:t>
      </w:r>
      <w:r w:rsidRPr="008E35DD">
        <w:rPr>
          <w:rFonts w:eastAsiaTheme="minorHAnsi"/>
          <w:sz w:val="22"/>
          <w:szCs w:val="22"/>
        </w:rPr>
        <w:t xml:space="preserve">, </w:t>
      </w:r>
      <w:r w:rsidRPr="008E35DD">
        <w:rPr>
          <w:rFonts w:eastAsiaTheme="minorHAnsi"/>
          <w:sz w:val="22"/>
          <w:szCs w:val="22"/>
          <w:u w:val="single"/>
        </w:rPr>
        <w:t>supra</w:t>
      </w:r>
      <w:r w:rsidRPr="008E35DD">
        <w:rPr>
          <w:rFonts w:eastAsiaTheme="minorHAnsi"/>
          <w:sz w:val="22"/>
          <w:szCs w:val="22"/>
        </w:rPr>
        <w:t xml:space="preserve">, at ¶18. Instead, the court should focus on “whether there is ‘some evidence’ supporting the defendant’s self-defense theory.” </w:t>
      </w:r>
      <w:r w:rsidRPr="008E35DD">
        <w:rPr>
          <w:rFonts w:eastAsiaTheme="minorHAnsi"/>
          <w:sz w:val="22"/>
          <w:szCs w:val="22"/>
          <w:u w:val="single"/>
        </w:rPr>
        <w:t>Id</w:t>
      </w:r>
      <w:r w:rsidRPr="008E35DD">
        <w:rPr>
          <w:rFonts w:eastAsiaTheme="minorHAnsi"/>
          <w:sz w:val="22"/>
          <w:szCs w:val="22"/>
        </w:rPr>
        <w:t xml:space="preserve">. at ¶58. Failure “to instruct on an issue which is raised by the evidence” is error. </w:t>
      </w:r>
      <w:r w:rsidRPr="008E35DD">
        <w:rPr>
          <w:rFonts w:eastAsiaTheme="minorHAnsi"/>
          <w:sz w:val="22"/>
          <w:szCs w:val="22"/>
          <w:u w:val="single"/>
        </w:rPr>
        <w:t>State v. Weeks</w:t>
      </w:r>
      <w:r w:rsidRPr="008E35DD">
        <w:rPr>
          <w:rFonts w:eastAsiaTheme="minorHAnsi"/>
          <w:sz w:val="22"/>
          <w:szCs w:val="22"/>
        </w:rPr>
        <w:t>, 165 Wis. 2d 200, 208, 477 N.W.2d 642 (Ct. App. 1991).</w:t>
      </w:r>
    </w:p>
    <w:p w14:paraId="2A4A0FE8" w14:textId="77777777" w:rsidR="00C17EFC" w:rsidRPr="00CD53F4" w:rsidRDefault="00C17EFC" w:rsidP="00C17EFC">
      <w:pPr>
        <w:pStyle w:val="NoSpacing"/>
        <w:ind w:firstLine="720"/>
        <w:jc w:val="both"/>
        <w:rPr>
          <w:rFonts w:eastAsiaTheme="minorHAnsi"/>
          <w:sz w:val="22"/>
          <w:szCs w:val="22"/>
        </w:rPr>
      </w:pPr>
    </w:p>
    <w:p w14:paraId="765110F8" w14:textId="79A70DBE" w:rsidR="00C17EFC" w:rsidRPr="00CD53F4" w:rsidRDefault="00C17EFC" w:rsidP="00C17EFC">
      <w:pPr>
        <w:pStyle w:val="NoSpacing"/>
        <w:ind w:firstLine="720"/>
        <w:jc w:val="both"/>
        <w:rPr>
          <w:sz w:val="22"/>
          <w:szCs w:val="22"/>
          <w:shd w:val="clear" w:color="auto" w:fill="FFFFFF"/>
        </w:rPr>
      </w:pPr>
      <w:r w:rsidRPr="00CD53F4">
        <w:rPr>
          <w:sz w:val="22"/>
          <w:szCs w:val="22"/>
          <w:shd w:val="clear" w:color="auto" w:fill="FFFFFF"/>
        </w:rPr>
        <w:t xml:space="preserve">In </w:t>
      </w:r>
      <w:r w:rsidRPr="00CD53F4">
        <w:rPr>
          <w:sz w:val="22"/>
          <w:szCs w:val="22"/>
          <w:u w:val="single"/>
          <w:shd w:val="clear" w:color="auto" w:fill="FFFFFF"/>
        </w:rPr>
        <w:t>State v. Johnson</w:t>
      </w:r>
      <w:r w:rsidRPr="00CD53F4">
        <w:rPr>
          <w:sz w:val="22"/>
          <w:szCs w:val="22"/>
          <w:shd w:val="clear" w:color="auto" w:fill="FFFFFF"/>
        </w:rPr>
        <w:t xml:space="preserve">, 2021 WI 61, </w:t>
      </w:r>
      <w:r w:rsidR="00A44473">
        <w:rPr>
          <w:sz w:val="22"/>
          <w:szCs w:val="22"/>
          <w:shd w:val="clear" w:color="auto" w:fill="FFFFFF"/>
        </w:rPr>
        <w:t>397 Wis.2d 633</w:t>
      </w:r>
      <w:r w:rsidRPr="00CD53F4">
        <w:rPr>
          <w:sz w:val="22"/>
          <w:szCs w:val="22"/>
          <w:shd w:val="clear" w:color="auto" w:fill="FFFFFF"/>
        </w:rPr>
        <w:t xml:space="preserve">, 961 N.W.2d 18, the Wisconsin Supreme Court concluded that the trial court erred by declining to instruct on self-defense. The Court held that although Johnson unlawfully entered K.M.’s home in the middle of the night, there was some evidence that he had an objectively reasonable belief that he was preventing an unlawful interference with his person. Although the </w:t>
      </w:r>
      <w:r w:rsidRPr="00CD53F4">
        <w:rPr>
          <w:sz w:val="22"/>
          <w:szCs w:val="22"/>
        </w:rPr>
        <w:t xml:space="preserve">physical attack </w:t>
      </w:r>
      <w:r w:rsidRPr="00CD53F4">
        <w:rPr>
          <w:sz w:val="22"/>
          <w:szCs w:val="22"/>
          <w:shd w:val="clear" w:color="auto" w:fill="FFFFFF"/>
        </w:rPr>
        <w:t xml:space="preserve">in </w:t>
      </w:r>
      <w:r w:rsidRPr="00CD53F4">
        <w:rPr>
          <w:sz w:val="22"/>
          <w:szCs w:val="22"/>
          <w:u w:val="single"/>
          <w:shd w:val="clear" w:color="auto" w:fill="FFFFFF"/>
        </w:rPr>
        <w:t>Johnson</w:t>
      </w:r>
      <w:r w:rsidRPr="00CD53F4">
        <w:rPr>
          <w:sz w:val="22"/>
          <w:szCs w:val="22"/>
          <w:shd w:val="clear" w:color="auto" w:fill="FFFFFF"/>
        </w:rPr>
        <w:t xml:space="preserve"> occurred entirely inside K.M.’s home, the opinion did not interpret, apply, or limit the castle doctrine in any way because the Court was tasked with examining Johnson’s, not K.M.’s, actions. Therefore, this decision did not alter the “some evidence” standard used to determine whether a jury should be instructed on self-defense. </w:t>
      </w:r>
    </w:p>
    <w:p w14:paraId="1F04E432" w14:textId="77777777" w:rsidR="00C17EFC" w:rsidRDefault="00C17EFC" w:rsidP="003C3E7E">
      <w:pPr>
        <w:pStyle w:val="NoSpacing"/>
        <w:jc w:val="both"/>
        <w:rPr>
          <w:sz w:val="22"/>
          <w:szCs w:val="22"/>
        </w:rPr>
      </w:pPr>
    </w:p>
    <w:p w14:paraId="19B30D6F" w14:textId="77777777" w:rsidR="003C3E7E" w:rsidRPr="003C3E7E" w:rsidRDefault="003C3E7E" w:rsidP="003C3E7E">
      <w:pPr>
        <w:pStyle w:val="NoSpacing"/>
        <w:numPr>
          <w:ilvl w:val="0"/>
          <w:numId w:val="1"/>
        </w:numPr>
        <w:tabs>
          <w:tab w:val="left" w:pos="900"/>
        </w:tabs>
        <w:ind w:left="0" w:firstLine="450"/>
        <w:jc w:val="both"/>
        <w:rPr>
          <w:sz w:val="22"/>
          <w:szCs w:val="22"/>
        </w:rPr>
      </w:pPr>
      <w:r>
        <w:rPr>
          <w:sz w:val="22"/>
          <w:szCs w:val="22"/>
        </w:rPr>
        <w:t>For purposes of self-defense, “unlawful” means “</w:t>
      </w:r>
      <w:r w:rsidRPr="003C3E7E">
        <w:rPr>
          <w:sz w:val="22"/>
          <w:szCs w:val="22"/>
        </w:rPr>
        <w:t>either tortious or expressly proh</w:t>
      </w:r>
      <w:r>
        <w:rPr>
          <w:sz w:val="22"/>
          <w:szCs w:val="22"/>
        </w:rPr>
        <w:t>ibited by criminal law or both.”</w:t>
      </w:r>
      <w:r w:rsidRPr="003C3E7E">
        <w:rPr>
          <w:sz w:val="22"/>
          <w:szCs w:val="22"/>
        </w:rPr>
        <w:t xml:space="preserve">  Section 939.48(6).  Further i</w:t>
      </w:r>
      <w:r>
        <w:rPr>
          <w:sz w:val="22"/>
          <w:szCs w:val="22"/>
        </w:rPr>
        <w:t>nstruction on what constitutes “unlawful interference”</w:t>
      </w:r>
      <w:r w:rsidRPr="003C3E7E">
        <w:rPr>
          <w:sz w:val="22"/>
          <w:szCs w:val="22"/>
        </w:rPr>
        <w:t xml:space="preserve"> in the context of the facts of a particular case may be desirable.</w:t>
      </w:r>
    </w:p>
    <w:p w14:paraId="051728CE" w14:textId="77777777" w:rsidR="003C3E7E" w:rsidRPr="003C3E7E" w:rsidRDefault="003C3E7E" w:rsidP="003C3E7E">
      <w:pPr>
        <w:pStyle w:val="NoSpacing"/>
        <w:jc w:val="both"/>
        <w:rPr>
          <w:sz w:val="22"/>
          <w:szCs w:val="22"/>
        </w:rPr>
      </w:pPr>
    </w:p>
    <w:p w14:paraId="64851344" w14:textId="77777777" w:rsidR="003C3E7E" w:rsidRPr="003C3E7E" w:rsidRDefault="0075758D" w:rsidP="0075758D">
      <w:pPr>
        <w:pStyle w:val="NoSpacing"/>
        <w:ind w:firstLine="450"/>
        <w:jc w:val="both"/>
        <w:rPr>
          <w:sz w:val="22"/>
          <w:szCs w:val="22"/>
        </w:rPr>
      </w:pPr>
      <w:r>
        <w:rPr>
          <w:sz w:val="22"/>
          <w:szCs w:val="22"/>
        </w:rPr>
        <w:t>The word “unlawful”</w:t>
      </w:r>
      <w:r w:rsidR="003C3E7E" w:rsidRPr="003C3E7E">
        <w:rPr>
          <w:sz w:val="22"/>
          <w:szCs w:val="22"/>
        </w:rPr>
        <w:t xml:space="preserve"> also appears in sub. (2) of §</w:t>
      </w:r>
      <w:r>
        <w:rPr>
          <w:sz w:val="22"/>
          <w:szCs w:val="22"/>
        </w:rPr>
        <w:t xml:space="preserve"> 939.48, which provides that a “</w:t>
      </w:r>
      <w:r w:rsidR="003C3E7E" w:rsidRPr="003C3E7E">
        <w:rPr>
          <w:sz w:val="22"/>
          <w:szCs w:val="22"/>
        </w:rPr>
        <w:t>person who engages in unlawful conduct of a type</w:t>
      </w:r>
      <w:r>
        <w:rPr>
          <w:sz w:val="22"/>
          <w:szCs w:val="22"/>
        </w:rPr>
        <w:t xml:space="preserve"> likely to provoke others . . .”</w:t>
      </w:r>
      <w:r w:rsidR="003C3E7E" w:rsidRPr="003C3E7E">
        <w:rPr>
          <w:sz w:val="22"/>
          <w:szCs w:val="22"/>
        </w:rPr>
        <w:t xml:space="preserve"> loses the right to claim the privilege of sel</w:t>
      </w:r>
      <w:r>
        <w:rPr>
          <w:sz w:val="22"/>
          <w:szCs w:val="22"/>
        </w:rPr>
        <w:t>f-defense.  [See Wis JI-</w:t>
      </w:r>
      <w:r w:rsidR="003C3E7E" w:rsidRPr="003C3E7E">
        <w:rPr>
          <w:sz w:val="22"/>
          <w:szCs w:val="22"/>
        </w:rPr>
        <w:t xml:space="preserve">Criminal 815.]  </w:t>
      </w:r>
      <w:r w:rsidRPr="003C3E7E">
        <w:rPr>
          <w:sz w:val="22"/>
          <w:szCs w:val="22"/>
        </w:rPr>
        <w:t xml:space="preserve">In </w:t>
      </w:r>
      <w:r w:rsidRPr="0075758D">
        <w:rPr>
          <w:sz w:val="22"/>
          <w:szCs w:val="22"/>
          <w:u w:val="single"/>
        </w:rPr>
        <w:t>State</w:t>
      </w:r>
      <w:r w:rsidR="003C3E7E" w:rsidRPr="0075758D">
        <w:rPr>
          <w:sz w:val="22"/>
          <w:szCs w:val="22"/>
          <w:u w:val="single"/>
        </w:rPr>
        <w:t xml:space="preserve"> v. Bougneit</w:t>
      </w:r>
      <w:r w:rsidR="003C3E7E" w:rsidRPr="003C3E7E">
        <w:rPr>
          <w:sz w:val="22"/>
          <w:szCs w:val="22"/>
        </w:rPr>
        <w:t xml:space="preserve">, 97 Wis.2d 687, 294 N.W.2d 675 (Ct. App. 1980), the court held that engaging in what would be considered disorderly conduct under § 947.01 could constitute </w:t>
      </w:r>
      <w:r>
        <w:rPr>
          <w:sz w:val="22"/>
          <w:szCs w:val="22"/>
        </w:rPr>
        <w:t>“unlawful conduct”</w:t>
      </w:r>
      <w:r w:rsidR="003C3E7E" w:rsidRPr="003C3E7E">
        <w:rPr>
          <w:sz w:val="22"/>
          <w:szCs w:val="22"/>
        </w:rPr>
        <w:t xml:space="preserve"> for the purposes of § 939.48(2).</w:t>
      </w:r>
    </w:p>
    <w:p w14:paraId="60410CE4" w14:textId="77777777" w:rsidR="003C3E7E" w:rsidRPr="003C3E7E" w:rsidRDefault="003C3E7E" w:rsidP="003C3E7E">
      <w:pPr>
        <w:pStyle w:val="NoSpacing"/>
        <w:jc w:val="both"/>
        <w:rPr>
          <w:sz w:val="22"/>
          <w:szCs w:val="22"/>
        </w:rPr>
      </w:pPr>
    </w:p>
    <w:p w14:paraId="3A9863F7" w14:textId="77777777" w:rsidR="003C3E7E" w:rsidRDefault="0075758D" w:rsidP="003C3E7E">
      <w:pPr>
        <w:pStyle w:val="NoSpacing"/>
        <w:jc w:val="both"/>
        <w:rPr>
          <w:sz w:val="22"/>
          <w:szCs w:val="22"/>
        </w:rPr>
      </w:pPr>
      <w:r>
        <w:rPr>
          <w:sz w:val="22"/>
          <w:szCs w:val="22"/>
        </w:rPr>
        <w:t>The “unlawful” component of “unlawful interference”</w:t>
      </w:r>
      <w:r w:rsidR="003C3E7E" w:rsidRPr="003C3E7E">
        <w:rPr>
          <w:sz w:val="22"/>
          <w:szCs w:val="22"/>
        </w:rPr>
        <w:t xml:space="preserve"> is just one part of the predicate for invoking the privilege of self-defense.  As stated in the instruction, th</w:t>
      </w:r>
      <w:r>
        <w:rPr>
          <w:sz w:val="22"/>
          <w:szCs w:val="22"/>
        </w:rPr>
        <w:t>e defendant must have believed “</w:t>
      </w:r>
      <w:r w:rsidR="003C3E7E" w:rsidRPr="003C3E7E">
        <w:rPr>
          <w:sz w:val="22"/>
          <w:szCs w:val="22"/>
        </w:rPr>
        <w:t xml:space="preserve">that there was an actual or imminent unlawful </w:t>
      </w:r>
      <w:r>
        <w:rPr>
          <w:sz w:val="22"/>
          <w:szCs w:val="22"/>
        </w:rPr>
        <w:t>interference with the defendant’</w:t>
      </w:r>
      <w:r w:rsidR="003C3E7E" w:rsidRPr="003C3E7E">
        <w:rPr>
          <w:sz w:val="22"/>
          <w:szCs w:val="22"/>
        </w:rPr>
        <w:t>s person and [must have] believed the amount of force he used or threatened to use was necessary to prevent</w:t>
      </w:r>
      <w:r>
        <w:rPr>
          <w:sz w:val="22"/>
          <w:szCs w:val="22"/>
        </w:rPr>
        <w:t xml:space="preserve"> or terminate the interference.”</w:t>
      </w:r>
    </w:p>
    <w:p w14:paraId="033FCC1B" w14:textId="77777777" w:rsidR="0075758D" w:rsidRPr="003C3E7E" w:rsidRDefault="0075758D" w:rsidP="003C3E7E">
      <w:pPr>
        <w:pStyle w:val="NoSpacing"/>
        <w:jc w:val="both"/>
        <w:rPr>
          <w:sz w:val="22"/>
          <w:szCs w:val="22"/>
        </w:rPr>
      </w:pPr>
    </w:p>
    <w:p w14:paraId="4185E553" w14:textId="77777777" w:rsidR="0075758D" w:rsidRDefault="0075758D" w:rsidP="003C3E7E">
      <w:pPr>
        <w:pStyle w:val="NoSpacing"/>
        <w:numPr>
          <w:ilvl w:val="0"/>
          <w:numId w:val="1"/>
        </w:numPr>
        <w:tabs>
          <w:tab w:val="left" w:pos="900"/>
        </w:tabs>
        <w:ind w:left="0" w:firstLine="450"/>
        <w:jc w:val="both"/>
        <w:rPr>
          <w:sz w:val="22"/>
          <w:szCs w:val="22"/>
        </w:rPr>
      </w:pPr>
      <w:r>
        <w:rPr>
          <w:sz w:val="22"/>
          <w:szCs w:val="22"/>
        </w:rPr>
        <w:t>This treatment of “reasonably believes”</w:t>
      </w:r>
      <w:r w:rsidR="003C3E7E" w:rsidRPr="003C3E7E">
        <w:rPr>
          <w:sz w:val="22"/>
          <w:szCs w:val="22"/>
        </w:rPr>
        <w:t xml:space="preserve"> is intended to be consistent with the definition provided in § 939.22(32).</w:t>
      </w:r>
    </w:p>
    <w:p w14:paraId="48BB7FDD" w14:textId="77777777" w:rsidR="0075758D" w:rsidRDefault="0075758D" w:rsidP="0075758D">
      <w:pPr>
        <w:pStyle w:val="NoSpacing"/>
        <w:tabs>
          <w:tab w:val="left" w:pos="900"/>
        </w:tabs>
        <w:ind w:left="450"/>
        <w:jc w:val="both"/>
        <w:rPr>
          <w:sz w:val="22"/>
          <w:szCs w:val="22"/>
        </w:rPr>
      </w:pPr>
    </w:p>
    <w:p w14:paraId="5C25228A" w14:textId="77777777" w:rsidR="003C3E7E" w:rsidRPr="0075758D" w:rsidRDefault="0075758D" w:rsidP="003C3E7E">
      <w:pPr>
        <w:pStyle w:val="NoSpacing"/>
        <w:numPr>
          <w:ilvl w:val="0"/>
          <w:numId w:val="1"/>
        </w:numPr>
        <w:tabs>
          <w:tab w:val="left" w:pos="900"/>
        </w:tabs>
        <w:ind w:left="0" w:firstLine="450"/>
        <w:jc w:val="both"/>
        <w:rPr>
          <w:sz w:val="22"/>
          <w:szCs w:val="22"/>
        </w:rPr>
      </w:pPr>
      <w:r>
        <w:rPr>
          <w:sz w:val="22"/>
          <w:szCs w:val="22"/>
        </w:rPr>
        <w:t>The phrase “in the defendant’</w:t>
      </w:r>
      <w:r w:rsidR="003C3E7E" w:rsidRPr="0075758D">
        <w:rPr>
          <w:sz w:val="22"/>
          <w:szCs w:val="22"/>
        </w:rPr>
        <w:t xml:space="preserve">s position under the circumstances that existed at </w:t>
      </w:r>
      <w:r>
        <w:rPr>
          <w:sz w:val="22"/>
          <w:szCs w:val="22"/>
        </w:rPr>
        <w:t>the time of the alleged offense”</w:t>
      </w:r>
      <w:r w:rsidR="003C3E7E" w:rsidRPr="0075758D">
        <w:rPr>
          <w:sz w:val="22"/>
          <w:szCs w:val="22"/>
        </w:rPr>
        <w:t xml:space="preserve"> is intended to allow consideration of a broad range of circumstanc</w:t>
      </w:r>
      <w:r>
        <w:rPr>
          <w:sz w:val="22"/>
          <w:szCs w:val="22"/>
        </w:rPr>
        <w:t>es that relate to the defendant’</w:t>
      </w:r>
      <w:r w:rsidR="003C3E7E" w:rsidRPr="0075758D">
        <w:rPr>
          <w:sz w:val="22"/>
          <w:szCs w:val="22"/>
        </w:rPr>
        <w:t xml:space="preserve">s situation.  For example, with children (assuming they are old enough to be criminally charged), the standard relates to a reasonable person of like age, intelligence, and experience.  </w:t>
      </w:r>
      <w:r w:rsidR="003C3E7E" w:rsidRPr="0075758D">
        <w:rPr>
          <w:sz w:val="22"/>
          <w:szCs w:val="22"/>
          <w:u w:val="single"/>
        </w:rPr>
        <w:t>Maichle v. Jonovic</w:t>
      </w:r>
      <w:r w:rsidR="003C3E7E" w:rsidRPr="0075758D">
        <w:rPr>
          <w:sz w:val="22"/>
          <w:szCs w:val="22"/>
        </w:rPr>
        <w:t>, 69 Wis.2d 622, 627 28, 230 N.W.2d 789 (1975).</w:t>
      </w:r>
    </w:p>
    <w:p w14:paraId="17AAFF7F" w14:textId="77777777" w:rsidR="003C3E7E" w:rsidRPr="003C3E7E" w:rsidRDefault="003C3E7E" w:rsidP="003C3E7E">
      <w:pPr>
        <w:pStyle w:val="NoSpacing"/>
        <w:jc w:val="both"/>
        <w:rPr>
          <w:sz w:val="22"/>
          <w:szCs w:val="22"/>
        </w:rPr>
      </w:pPr>
    </w:p>
    <w:p w14:paraId="16186C2D" w14:textId="77777777" w:rsidR="003C3E7E" w:rsidRPr="003C3E7E" w:rsidRDefault="003C3E7E" w:rsidP="0075758D">
      <w:pPr>
        <w:pStyle w:val="NoSpacing"/>
        <w:ind w:firstLine="450"/>
        <w:jc w:val="both"/>
        <w:rPr>
          <w:sz w:val="22"/>
          <w:szCs w:val="22"/>
        </w:rPr>
      </w:pPr>
      <w:r w:rsidRPr="003C3E7E">
        <w:rPr>
          <w:sz w:val="22"/>
          <w:szCs w:val="22"/>
        </w:rPr>
        <w:t>Another situation where the personal circumstances become</w:t>
      </w:r>
      <w:r w:rsidR="0075758D">
        <w:rPr>
          <w:sz w:val="22"/>
          <w:szCs w:val="22"/>
        </w:rPr>
        <w:t xml:space="preserve"> important in defining the self-</w:t>
      </w:r>
      <w:r w:rsidRPr="003C3E7E">
        <w:rPr>
          <w:sz w:val="22"/>
          <w:szCs w:val="22"/>
        </w:rPr>
        <w:t>defense standard is in a case involving a battered spouse.  Wisconsin cases dealing with the subject have tended t</w:t>
      </w:r>
      <w:r w:rsidR="0075758D">
        <w:rPr>
          <w:sz w:val="22"/>
          <w:szCs w:val="22"/>
        </w:rPr>
        <w:t xml:space="preserve">o </w:t>
      </w:r>
      <w:r w:rsidR="0075758D">
        <w:rPr>
          <w:sz w:val="22"/>
          <w:szCs w:val="22"/>
        </w:rPr>
        <w:lastRenderedPageBreak/>
        <w:t>use doctrines other than self-</w:t>
      </w:r>
      <w:r w:rsidRPr="003C3E7E">
        <w:rPr>
          <w:sz w:val="22"/>
          <w:szCs w:val="22"/>
        </w:rPr>
        <w:t xml:space="preserve">defense in these cases.  In </w:t>
      </w:r>
      <w:r w:rsidRPr="0075758D">
        <w:rPr>
          <w:sz w:val="22"/>
          <w:szCs w:val="22"/>
          <w:u w:val="single"/>
        </w:rPr>
        <w:t>State v. Hoyt</w:t>
      </w:r>
      <w:r w:rsidRPr="003C3E7E">
        <w:rPr>
          <w:sz w:val="22"/>
          <w:szCs w:val="22"/>
        </w:rPr>
        <w:t>, 21 Wis.2d 284, 128 N.W.2d 645 (1964), for example, th</w:t>
      </w:r>
      <w:r w:rsidR="0075758D">
        <w:rPr>
          <w:sz w:val="22"/>
          <w:szCs w:val="22"/>
        </w:rPr>
        <w:t>e theory of defense related to “</w:t>
      </w:r>
      <w:r w:rsidRPr="003C3E7E">
        <w:rPr>
          <w:sz w:val="22"/>
          <w:szCs w:val="22"/>
        </w:rPr>
        <w:t>heat of passion, caused by reas</w:t>
      </w:r>
      <w:r w:rsidR="0075758D">
        <w:rPr>
          <w:sz w:val="22"/>
          <w:szCs w:val="22"/>
        </w:rPr>
        <w:t>onable and adequate provocation”</w:t>
      </w:r>
      <w:r w:rsidRPr="003C3E7E">
        <w:rPr>
          <w:sz w:val="22"/>
          <w:szCs w:val="22"/>
        </w:rPr>
        <w:t xml:space="preserve"> rather than </w:t>
      </w:r>
      <w:r w:rsidR="0075758D">
        <w:rPr>
          <w:sz w:val="22"/>
          <w:szCs w:val="22"/>
        </w:rPr>
        <w:t>self-</w:t>
      </w:r>
      <w:r w:rsidRPr="003C3E7E">
        <w:rPr>
          <w:sz w:val="22"/>
          <w:szCs w:val="22"/>
        </w:rPr>
        <w:t xml:space="preserve">defense.  Likewise, in </w:t>
      </w:r>
      <w:r w:rsidRPr="0075758D">
        <w:rPr>
          <w:sz w:val="22"/>
          <w:szCs w:val="22"/>
          <w:u w:val="single"/>
        </w:rPr>
        <w:t>State v. Felton</w:t>
      </w:r>
      <w:r w:rsidRPr="003C3E7E">
        <w:rPr>
          <w:sz w:val="22"/>
          <w:szCs w:val="22"/>
        </w:rPr>
        <w:t xml:space="preserve">, 110 Wis.2d 485, 329 N.W.2d 161 (1983), provocation and not guilty by reason of mental disease were considered to be the relevant doctrines.  However, some cases of this type may legitimately be considered under </w:t>
      </w:r>
      <w:r w:rsidR="0075758D">
        <w:rPr>
          <w:sz w:val="22"/>
          <w:szCs w:val="22"/>
        </w:rPr>
        <w:t>self-</w:t>
      </w:r>
      <w:r w:rsidRPr="003C3E7E">
        <w:rPr>
          <w:sz w:val="22"/>
          <w:szCs w:val="22"/>
        </w:rPr>
        <w:t>defense rules:  the history of abuse between the spouses may be relevant to e</w:t>
      </w:r>
      <w:r w:rsidR="0075758D">
        <w:rPr>
          <w:sz w:val="22"/>
          <w:szCs w:val="22"/>
        </w:rPr>
        <w:t>valuating whether the defendant’</w:t>
      </w:r>
      <w:r w:rsidRPr="003C3E7E">
        <w:rPr>
          <w:sz w:val="22"/>
          <w:szCs w:val="22"/>
        </w:rPr>
        <w:t xml:space="preserve">s belief in the need to use force was reasonable.  See, for example, </w:t>
      </w:r>
      <w:r w:rsidRPr="0075758D">
        <w:rPr>
          <w:sz w:val="22"/>
          <w:szCs w:val="22"/>
          <w:u w:val="single"/>
        </w:rPr>
        <w:t>State v. Gomaz</w:t>
      </w:r>
      <w:r w:rsidRPr="003C3E7E">
        <w:rPr>
          <w:sz w:val="22"/>
          <w:szCs w:val="22"/>
        </w:rPr>
        <w:t>, 141 Wis.2d 302, 414 N.W.2d 626 (1987).</w:t>
      </w:r>
    </w:p>
    <w:p w14:paraId="41FAC74D" w14:textId="17D72BA3" w:rsidR="0075758D" w:rsidRDefault="0075758D" w:rsidP="003C3E7E">
      <w:pPr>
        <w:pStyle w:val="NoSpacing"/>
        <w:jc w:val="both"/>
        <w:rPr>
          <w:sz w:val="22"/>
          <w:szCs w:val="22"/>
        </w:rPr>
      </w:pPr>
    </w:p>
    <w:p w14:paraId="34B1D532" w14:textId="77777777" w:rsidR="00175E6C" w:rsidRDefault="00175E6C" w:rsidP="003C3E7E">
      <w:pPr>
        <w:pStyle w:val="NoSpacing"/>
        <w:jc w:val="both"/>
        <w:rPr>
          <w:sz w:val="22"/>
          <w:szCs w:val="22"/>
        </w:rPr>
      </w:pPr>
    </w:p>
    <w:p w14:paraId="4CBC9D5A" w14:textId="77777777" w:rsidR="003C3E7E" w:rsidRPr="003C3E7E" w:rsidRDefault="003C3E7E" w:rsidP="0075758D">
      <w:pPr>
        <w:pStyle w:val="NoSpacing"/>
        <w:numPr>
          <w:ilvl w:val="0"/>
          <w:numId w:val="1"/>
        </w:numPr>
        <w:tabs>
          <w:tab w:val="left" w:pos="900"/>
        </w:tabs>
        <w:ind w:left="0" w:firstLine="450"/>
        <w:jc w:val="both"/>
        <w:rPr>
          <w:sz w:val="22"/>
          <w:szCs w:val="22"/>
        </w:rPr>
      </w:pPr>
      <w:r w:rsidRPr="003C3E7E">
        <w:rPr>
          <w:sz w:val="22"/>
          <w:szCs w:val="22"/>
        </w:rPr>
        <w:t>In the two blanks provided, insert the number of elements that the crime has and the name of that crime, where the crime has a convenient short title.  For example, for a case involving simple battery under § 940.19(1), the se</w:t>
      </w:r>
      <w:r w:rsidR="0075758D">
        <w:rPr>
          <w:sz w:val="22"/>
          <w:szCs w:val="22"/>
        </w:rPr>
        <w:t>ntence would read as follows:  “</w:t>
      </w:r>
      <w:r w:rsidRPr="003C3E7E">
        <w:rPr>
          <w:sz w:val="22"/>
          <w:szCs w:val="22"/>
        </w:rPr>
        <w:t>. . . that all four elements of</w:t>
      </w:r>
      <w:r w:rsidR="0075758D">
        <w:rPr>
          <w:sz w:val="22"/>
          <w:szCs w:val="22"/>
        </w:rPr>
        <w:t xml:space="preserve"> battery have been proved . . .”  See Wis JI-</w:t>
      </w:r>
      <w:r w:rsidRPr="003C3E7E">
        <w:rPr>
          <w:sz w:val="22"/>
          <w:szCs w:val="22"/>
        </w:rPr>
        <w:t>Criminal 1220A.  If the crime does not have</w:t>
      </w:r>
      <w:r w:rsidR="0075758D">
        <w:rPr>
          <w:sz w:val="22"/>
          <w:szCs w:val="22"/>
        </w:rPr>
        <w:t xml:space="preserve"> a convenient short title, use “this offense”</w:t>
      </w:r>
      <w:r w:rsidRPr="003C3E7E">
        <w:rPr>
          <w:sz w:val="22"/>
          <w:szCs w:val="22"/>
        </w:rPr>
        <w:t xml:space="preserve"> instead.  For example, for a case involving substantial battery under § 940.19(2), the sentence would re</w:t>
      </w:r>
      <w:r w:rsidR="0075758D">
        <w:rPr>
          <w:sz w:val="22"/>
          <w:szCs w:val="22"/>
        </w:rPr>
        <w:t>ad: “</w:t>
      </w:r>
      <w:r w:rsidRPr="003C3E7E">
        <w:rPr>
          <w:sz w:val="22"/>
          <w:szCs w:val="22"/>
        </w:rPr>
        <w:t xml:space="preserve">that both elements of </w:t>
      </w:r>
      <w:r w:rsidR="0075758D">
        <w:rPr>
          <w:sz w:val="22"/>
          <w:szCs w:val="22"/>
        </w:rPr>
        <w:t>this offense were proved, . . .”  See Wis JI-</w:t>
      </w:r>
      <w:r w:rsidRPr="003C3E7E">
        <w:rPr>
          <w:sz w:val="22"/>
          <w:szCs w:val="22"/>
        </w:rPr>
        <w:t>Criminal 1222A.</w:t>
      </w:r>
    </w:p>
    <w:p w14:paraId="7AED715D" w14:textId="77777777" w:rsidR="00922EC9" w:rsidRDefault="00922EC9" w:rsidP="00922EC9">
      <w:pPr>
        <w:pStyle w:val="NoSpacing"/>
      </w:pPr>
    </w:p>
    <w:p w14:paraId="0222FDAA" w14:textId="77777777" w:rsidR="00046025" w:rsidRDefault="00046025"/>
    <w:sectPr w:rsidR="00046025" w:rsidSect="00AB66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8718" w14:textId="77777777" w:rsidR="00922EC9" w:rsidRDefault="00922EC9" w:rsidP="00922EC9">
      <w:r>
        <w:separator/>
      </w:r>
    </w:p>
  </w:endnote>
  <w:endnote w:type="continuationSeparator" w:id="0">
    <w:p w14:paraId="1022D884" w14:textId="77777777" w:rsidR="00922EC9" w:rsidRDefault="00922EC9" w:rsidP="0092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760D" w14:textId="77777777" w:rsidR="0049752F" w:rsidRDefault="0049752F" w:rsidP="00175E6C">
    <w:pPr>
      <w:pStyle w:val="Footer"/>
      <w:jc w:val="both"/>
      <w:rPr>
        <w:rFonts w:ascii="Arial" w:hAnsi="Arial" w:cs="Arial"/>
        <w:sz w:val="20"/>
        <w:szCs w:val="20"/>
      </w:rPr>
    </w:pPr>
  </w:p>
  <w:p w14:paraId="7DA1D4E7" w14:textId="157F3F19" w:rsidR="00175E6C" w:rsidRPr="004471DF" w:rsidRDefault="002E691F" w:rsidP="00175E6C">
    <w:pPr>
      <w:pStyle w:val="Footer"/>
      <w:jc w:val="both"/>
      <w:rPr>
        <w:rFonts w:ascii="Arial" w:hAnsi="Arial" w:cs="Arial"/>
        <w:sz w:val="20"/>
        <w:szCs w:val="20"/>
      </w:rPr>
    </w:pPr>
    <w:r>
      <w:rPr>
        <w:rFonts w:ascii="Arial" w:hAnsi="Arial" w:cs="Arial"/>
        <w:sz w:val="20"/>
        <w:szCs w:val="20"/>
      </w:rPr>
      <w:t>Wisconsin Court System, 7/2023</w:t>
    </w:r>
    <w:r w:rsidR="00175E6C" w:rsidRPr="004471DF">
      <w:rPr>
        <w:rFonts w:ascii="Arial" w:hAnsi="Arial" w:cs="Arial"/>
        <w:sz w:val="20"/>
        <w:szCs w:val="20"/>
      </w:rPr>
      <w:tab/>
    </w:r>
    <w:r w:rsidR="00175E6C" w:rsidRPr="004471DF">
      <w:rPr>
        <w:rFonts w:ascii="Arial" w:hAnsi="Arial" w:cs="Arial"/>
        <w:sz w:val="20"/>
        <w:szCs w:val="20"/>
      </w:rPr>
      <w:tab/>
    </w:r>
    <w:r w:rsidR="008E35DD">
      <w:rPr>
        <w:rFonts w:ascii="Arial" w:hAnsi="Arial" w:cs="Arial"/>
        <w:sz w:val="20"/>
        <w:szCs w:val="20"/>
      </w:rPr>
      <w:t>(Release No. 62</w:t>
    </w:r>
    <w:r w:rsidR="00175E6C" w:rsidRPr="004471DF">
      <w:rPr>
        <w:rFonts w:ascii="Arial" w:hAnsi="Arial" w:cs="Arial"/>
        <w:sz w:val="20"/>
        <w:szCs w:val="20"/>
      </w:rPr>
      <w:t>)</w:t>
    </w:r>
  </w:p>
  <w:p w14:paraId="77714820" w14:textId="69394392" w:rsidR="00175E6C" w:rsidRPr="004471DF" w:rsidRDefault="003A0CD8">
    <w:pPr>
      <w:pStyle w:val="Footer"/>
      <w:jc w:val="center"/>
      <w:rPr>
        <w:rFonts w:ascii="Arial" w:hAnsi="Arial" w:cs="Arial"/>
        <w:sz w:val="20"/>
        <w:szCs w:val="20"/>
      </w:rPr>
    </w:pPr>
    <w:sdt>
      <w:sdtPr>
        <w:rPr>
          <w:rFonts w:ascii="Arial" w:hAnsi="Arial" w:cs="Arial"/>
          <w:sz w:val="20"/>
          <w:szCs w:val="20"/>
        </w:rPr>
        <w:id w:val="1486811947"/>
        <w:docPartObj>
          <w:docPartGallery w:val="Page Numbers (Bottom of Page)"/>
          <w:docPartUnique/>
        </w:docPartObj>
      </w:sdtPr>
      <w:sdtEndPr>
        <w:rPr>
          <w:noProof/>
        </w:rPr>
      </w:sdtEndPr>
      <w:sdtContent>
        <w:r w:rsidR="00175E6C" w:rsidRPr="004471DF">
          <w:rPr>
            <w:rFonts w:ascii="Arial" w:hAnsi="Arial" w:cs="Arial"/>
            <w:sz w:val="20"/>
            <w:szCs w:val="20"/>
          </w:rPr>
          <w:fldChar w:fldCharType="begin"/>
        </w:r>
        <w:r w:rsidR="00175E6C" w:rsidRPr="004471DF">
          <w:rPr>
            <w:rFonts w:ascii="Arial" w:hAnsi="Arial" w:cs="Arial"/>
            <w:sz w:val="20"/>
            <w:szCs w:val="20"/>
          </w:rPr>
          <w:instrText xml:space="preserve"> PAGE   \* MERGEFORMAT </w:instrText>
        </w:r>
        <w:r w:rsidR="00175E6C" w:rsidRPr="004471DF">
          <w:rPr>
            <w:rFonts w:ascii="Arial" w:hAnsi="Arial" w:cs="Arial"/>
            <w:sz w:val="20"/>
            <w:szCs w:val="20"/>
          </w:rPr>
          <w:fldChar w:fldCharType="separate"/>
        </w:r>
        <w:r>
          <w:rPr>
            <w:rFonts w:ascii="Arial" w:hAnsi="Arial" w:cs="Arial"/>
            <w:noProof/>
            <w:sz w:val="20"/>
            <w:szCs w:val="20"/>
          </w:rPr>
          <w:t>3</w:t>
        </w:r>
        <w:r w:rsidR="00175E6C" w:rsidRPr="004471DF">
          <w:rPr>
            <w:rFonts w:ascii="Arial" w:hAnsi="Arial" w:cs="Arial"/>
            <w:noProof/>
            <w:sz w:val="20"/>
            <w:szCs w:val="20"/>
          </w:rPr>
          <w:fldChar w:fldCharType="end"/>
        </w:r>
      </w:sdtContent>
    </w:sdt>
  </w:p>
  <w:p w14:paraId="369FF7E0" w14:textId="77777777" w:rsidR="00175E6C" w:rsidRDefault="0017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F5D4" w14:textId="77777777" w:rsidR="00922EC9" w:rsidRDefault="00922EC9" w:rsidP="00922EC9">
      <w:r>
        <w:separator/>
      </w:r>
    </w:p>
  </w:footnote>
  <w:footnote w:type="continuationSeparator" w:id="0">
    <w:p w14:paraId="563297F2" w14:textId="77777777" w:rsidR="00922EC9" w:rsidRDefault="00922EC9" w:rsidP="0092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0EFF" w14:textId="77777777" w:rsidR="00922EC9" w:rsidRDefault="00922EC9" w:rsidP="00922EC9">
    <w:pPr>
      <w:tabs>
        <w:tab w:val="center" w:pos="4680"/>
        <w:tab w:val="right" w:pos="9360"/>
      </w:tabs>
      <w:jc w:val="both"/>
      <w:rPr>
        <w:rFonts w:ascii="Arial" w:hAnsi="Arial" w:cs="Arial"/>
        <w:b/>
        <w:bCs/>
        <w:sz w:val="28"/>
        <w:szCs w:val="28"/>
      </w:rPr>
    </w:pPr>
  </w:p>
  <w:p w14:paraId="4600426D" w14:textId="77777777" w:rsidR="00922EC9" w:rsidRPr="00922EC9" w:rsidRDefault="00922EC9" w:rsidP="00922EC9">
    <w:pPr>
      <w:tabs>
        <w:tab w:val="center" w:pos="4680"/>
        <w:tab w:val="right" w:pos="9360"/>
      </w:tabs>
      <w:jc w:val="both"/>
      <w:rPr>
        <w:rFonts w:ascii="Arial" w:hAnsi="Arial" w:cs="Arial"/>
        <w:sz w:val="28"/>
        <w:szCs w:val="28"/>
      </w:rPr>
    </w:pPr>
    <w:r w:rsidRPr="00922EC9">
      <w:rPr>
        <w:rFonts w:ascii="Arial" w:hAnsi="Arial" w:cs="Arial"/>
        <w:b/>
        <w:bCs/>
        <w:sz w:val="28"/>
        <w:szCs w:val="28"/>
      </w:rPr>
      <w:t>805</w:t>
    </w:r>
    <w:r w:rsidRPr="00922EC9">
      <w:rPr>
        <w:rFonts w:ascii="Arial" w:hAnsi="Arial" w:cs="Arial"/>
        <w:b/>
        <w:bCs/>
        <w:sz w:val="28"/>
        <w:szCs w:val="28"/>
      </w:rPr>
      <w:tab/>
      <w:t>WIS JI</w:t>
    </w:r>
    <w:r w:rsidRPr="00922EC9">
      <w:rPr>
        <w:rFonts w:ascii="Arial" w:hAnsi="Arial" w:cs="Arial"/>
        <w:b/>
        <w:bCs/>
        <w:sz w:val="28"/>
        <w:szCs w:val="28"/>
      </w:rPr>
      <w:noBreakHyphen/>
      <w:t>CRIMINAL</w:t>
    </w:r>
    <w:r w:rsidRPr="00922EC9">
      <w:rPr>
        <w:rFonts w:ascii="Arial" w:hAnsi="Arial" w:cs="Arial"/>
        <w:b/>
        <w:bCs/>
        <w:sz w:val="28"/>
        <w:szCs w:val="28"/>
      </w:rPr>
      <w:tab/>
      <w:t>805</w:t>
    </w:r>
  </w:p>
  <w:p w14:paraId="3BBD41F4" w14:textId="38A2D4A8" w:rsidR="0049752F" w:rsidRDefault="0049752F">
    <w:pPr>
      <w:pStyle w:val="Header"/>
      <w:rPr>
        <w:rFonts w:ascii="Arial" w:hAnsi="Arial" w:cs="Arial"/>
        <w:sz w:val="28"/>
        <w:szCs w:val="28"/>
      </w:rPr>
    </w:pPr>
  </w:p>
  <w:p w14:paraId="59C51176" w14:textId="77777777" w:rsidR="00A44473" w:rsidRDefault="00A4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51B"/>
    <w:multiLevelType w:val="hybridMultilevel"/>
    <w:tmpl w:val="4680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C9"/>
    <w:rsid w:val="00046025"/>
    <w:rsid w:val="000C581A"/>
    <w:rsid w:val="00175E6C"/>
    <w:rsid w:val="00277A4D"/>
    <w:rsid w:val="002E691F"/>
    <w:rsid w:val="003A0CD8"/>
    <w:rsid w:val="003C3E7E"/>
    <w:rsid w:val="004471DF"/>
    <w:rsid w:val="0049752F"/>
    <w:rsid w:val="0054666C"/>
    <w:rsid w:val="006535A7"/>
    <w:rsid w:val="0075758D"/>
    <w:rsid w:val="008E35DD"/>
    <w:rsid w:val="0090501D"/>
    <w:rsid w:val="00922EC9"/>
    <w:rsid w:val="00A44473"/>
    <w:rsid w:val="00A745AA"/>
    <w:rsid w:val="00AB66F2"/>
    <w:rsid w:val="00B7269C"/>
    <w:rsid w:val="00C17EFC"/>
    <w:rsid w:val="00CB502D"/>
    <w:rsid w:val="00CD53F4"/>
    <w:rsid w:val="00DC7A24"/>
    <w:rsid w:val="00F9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CF3C"/>
  <w15:chartTrackingRefBased/>
  <w15:docId w15:val="{C33A4A84-F7E2-47CF-A3CD-513BFED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EC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2EC9"/>
  </w:style>
  <w:style w:type="paragraph" w:styleId="Footer">
    <w:name w:val="footer"/>
    <w:basedOn w:val="Normal"/>
    <w:link w:val="FooterChar"/>
    <w:uiPriority w:val="99"/>
    <w:unhideWhenUsed/>
    <w:rsid w:val="00922EC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2EC9"/>
  </w:style>
  <w:style w:type="paragraph" w:styleId="NoSpacing">
    <w:name w:val="No Spacing"/>
    <w:uiPriority w:val="1"/>
    <w:qFormat/>
    <w:rsid w:val="00922E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7EFC"/>
    <w:rPr>
      <w:sz w:val="16"/>
      <w:szCs w:val="16"/>
    </w:rPr>
  </w:style>
  <w:style w:type="paragraph" w:styleId="CommentText">
    <w:name w:val="annotation text"/>
    <w:basedOn w:val="Normal"/>
    <w:link w:val="CommentTextChar"/>
    <w:uiPriority w:val="99"/>
    <w:semiHidden/>
    <w:unhideWhenUsed/>
    <w:rsid w:val="00C17EFC"/>
    <w:rPr>
      <w:sz w:val="20"/>
      <w:szCs w:val="20"/>
    </w:rPr>
  </w:style>
  <w:style w:type="character" w:customStyle="1" w:styleId="CommentTextChar">
    <w:name w:val="Comment Text Char"/>
    <w:basedOn w:val="DefaultParagraphFont"/>
    <w:link w:val="CommentText"/>
    <w:uiPriority w:val="99"/>
    <w:semiHidden/>
    <w:rsid w:val="00C17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7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FC"/>
    <w:rPr>
      <w:rFonts w:ascii="Segoe UI" w:eastAsia="Times New Roman" w:hAnsi="Segoe UI" w:cs="Segoe UI"/>
      <w:sz w:val="18"/>
      <w:szCs w:val="18"/>
    </w:rPr>
  </w:style>
  <w:style w:type="character" w:styleId="LineNumber">
    <w:name w:val="line number"/>
    <w:basedOn w:val="DefaultParagraphFont"/>
    <w:uiPriority w:val="99"/>
    <w:semiHidden/>
    <w:unhideWhenUsed/>
    <w:rsid w:val="00A7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5</cp:revision>
  <dcterms:created xsi:type="dcterms:W3CDTF">2023-06-06T16:43:00Z</dcterms:created>
  <dcterms:modified xsi:type="dcterms:W3CDTF">2023-06-16T16:20:00Z</dcterms:modified>
</cp:coreProperties>
</file>