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3A6F2" w14:textId="77777777" w:rsidR="00EC613C" w:rsidRDefault="00EC613C" w:rsidP="00B1458B">
      <w:pPr>
        <w:widowControl/>
        <w:tabs>
          <w:tab w:val="left" w:pos="900"/>
        </w:tabs>
        <w:ind w:left="900" w:hanging="900"/>
        <w:jc w:val="both"/>
        <w:rPr>
          <w:sz w:val="26"/>
          <w:szCs w:val="26"/>
        </w:rPr>
      </w:pPr>
      <w:r>
        <w:rPr>
          <w:b/>
          <w:bCs/>
          <w:sz w:val="26"/>
          <w:szCs w:val="26"/>
        </w:rPr>
        <w:t>1217A</w:t>
      </w:r>
      <w:r>
        <w:rPr>
          <w:b/>
          <w:bCs/>
          <w:sz w:val="26"/>
          <w:szCs w:val="26"/>
        </w:rPr>
        <w:tab/>
        <w:t>SECOND DEGREE SEXUAL ASSAULT:  SEXUAL CONTACT OR INTERCOURSE BY AN EMPLOYEE OF AN ENTITY — § 940.225(2)(j)</w:t>
      </w:r>
    </w:p>
    <w:p w14:paraId="63C856C5" w14:textId="7EF4239A" w:rsidR="00EC613C" w:rsidRDefault="00EC613C" w:rsidP="00EC613C">
      <w:pPr>
        <w:pStyle w:val="NoSpacing"/>
        <w:rPr>
          <w:sz w:val="26"/>
          <w:szCs w:val="26"/>
        </w:rPr>
      </w:pPr>
      <w:bookmarkStart w:id="0" w:name="QuickMark"/>
      <w:bookmarkEnd w:id="0"/>
    </w:p>
    <w:p w14:paraId="7706B890" w14:textId="77777777" w:rsidR="00B1458B" w:rsidRPr="00B1458B" w:rsidRDefault="00B1458B" w:rsidP="00EC613C">
      <w:pPr>
        <w:pStyle w:val="NoSpacing"/>
        <w:rPr>
          <w:sz w:val="26"/>
          <w:szCs w:val="26"/>
        </w:rPr>
      </w:pPr>
    </w:p>
    <w:p w14:paraId="17B5C100" w14:textId="77777777" w:rsidR="00EC613C" w:rsidRPr="00EC613C" w:rsidRDefault="00EC613C" w:rsidP="00927DE0">
      <w:pPr>
        <w:spacing w:line="480" w:lineRule="auto"/>
        <w:jc w:val="center"/>
        <w:rPr>
          <w:b/>
          <w:sz w:val="26"/>
          <w:szCs w:val="26"/>
        </w:rPr>
      </w:pPr>
      <w:r w:rsidRPr="00EC613C">
        <w:rPr>
          <w:b/>
          <w:sz w:val="26"/>
          <w:szCs w:val="26"/>
        </w:rPr>
        <w:t>Statutory Definition of the Crime</w:t>
      </w:r>
    </w:p>
    <w:p w14:paraId="32B9D306" w14:textId="77777777" w:rsidR="00EC613C" w:rsidRPr="004B405F" w:rsidRDefault="00EC613C" w:rsidP="00927DE0">
      <w:pPr>
        <w:spacing w:line="480" w:lineRule="auto"/>
        <w:ind w:firstLine="450"/>
        <w:jc w:val="both"/>
        <w:rPr>
          <w:sz w:val="26"/>
          <w:szCs w:val="26"/>
        </w:rPr>
      </w:pPr>
      <w:r w:rsidRPr="004B405F">
        <w:rPr>
          <w:sz w:val="26"/>
          <w:szCs w:val="26"/>
        </w:rPr>
        <w:t xml:space="preserve">Second degree sexual assault, as defined in § 940.225(2)(j) of the Criminal Code of Wisconsin, is committed by a licensee, employee, or nonclient resident of an entity who has sexual </w:t>
      </w:r>
      <w:r w:rsidR="00927DE0" w:rsidRPr="004B405F">
        <w:rPr>
          <w:sz w:val="26"/>
          <w:szCs w:val="26"/>
        </w:rPr>
        <w:t>(contact) (intercourse)</w:t>
      </w:r>
      <w:r w:rsidRPr="004B405F">
        <w:rPr>
          <w:sz w:val="26"/>
          <w:szCs w:val="26"/>
        </w:rPr>
        <w:t xml:space="preserve"> with a client of the entity.</w:t>
      </w:r>
    </w:p>
    <w:p w14:paraId="1DE16599" w14:textId="77777777" w:rsidR="00EC613C" w:rsidRPr="004B405F" w:rsidRDefault="00927DE0" w:rsidP="00927DE0">
      <w:pPr>
        <w:spacing w:line="480" w:lineRule="auto"/>
        <w:jc w:val="center"/>
        <w:rPr>
          <w:b/>
          <w:sz w:val="26"/>
          <w:szCs w:val="26"/>
        </w:rPr>
      </w:pPr>
      <w:r w:rsidRPr="004B405F">
        <w:rPr>
          <w:b/>
          <w:sz w:val="26"/>
          <w:szCs w:val="26"/>
        </w:rPr>
        <w:t>State’</w:t>
      </w:r>
      <w:r w:rsidR="00EC613C" w:rsidRPr="004B405F">
        <w:rPr>
          <w:b/>
          <w:sz w:val="26"/>
          <w:szCs w:val="26"/>
        </w:rPr>
        <w:t>s Burden of Proof</w:t>
      </w:r>
    </w:p>
    <w:p w14:paraId="6B035EF1" w14:textId="77777777" w:rsidR="00EC613C" w:rsidRPr="004B405F" w:rsidRDefault="00EC613C" w:rsidP="00927DE0">
      <w:pPr>
        <w:spacing w:line="480" w:lineRule="auto"/>
        <w:ind w:firstLine="450"/>
        <w:jc w:val="both"/>
        <w:rPr>
          <w:sz w:val="26"/>
          <w:szCs w:val="26"/>
        </w:rPr>
      </w:pPr>
      <w:r w:rsidRPr="004B405F">
        <w:rPr>
          <w:sz w:val="26"/>
          <w:szCs w:val="26"/>
        </w:rPr>
        <w:t>Before you may find the defendant guilty of this offense, the State must prove by evidence which satisfies you beyond a reasonable doubt that the following three elements were present.</w:t>
      </w:r>
    </w:p>
    <w:p w14:paraId="7B5E44E0" w14:textId="77777777" w:rsidR="00EC613C" w:rsidRPr="004B405F" w:rsidRDefault="00EC613C" w:rsidP="00927DE0">
      <w:pPr>
        <w:spacing w:line="480" w:lineRule="auto"/>
        <w:jc w:val="center"/>
        <w:rPr>
          <w:b/>
          <w:sz w:val="26"/>
          <w:szCs w:val="26"/>
        </w:rPr>
      </w:pPr>
      <w:r w:rsidRPr="004B405F">
        <w:rPr>
          <w:b/>
          <w:sz w:val="26"/>
          <w:szCs w:val="26"/>
        </w:rPr>
        <w:t>Elements of th</w:t>
      </w:r>
      <w:bookmarkStart w:id="1" w:name="_GoBack"/>
      <w:bookmarkEnd w:id="1"/>
      <w:r w:rsidRPr="004B405F">
        <w:rPr>
          <w:b/>
          <w:sz w:val="26"/>
          <w:szCs w:val="26"/>
        </w:rPr>
        <w:t>e Crime That the State Must Prove</w:t>
      </w:r>
    </w:p>
    <w:p w14:paraId="6A8532FE" w14:textId="77777777" w:rsidR="00EC613C" w:rsidRPr="004B405F" w:rsidRDefault="00EC613C" w:rsidP="00927DE0">
      <w:pPr>
        <w:pStyle w:val="ListParagraph"/>
        <w:numPr>
          <w:ilvl w:val="0"/>
          <w:numId w:val="1"/>
        </w:numPr>
        <w:tabs>
          <w:tab w:val="left" w:pos="900"/>
        </w:tabs>
        <w:spacing w:line="480" w:lineRule="auto"/>
        <w:jc w:val="both"/>
        <w:rPr>
          <w:sz w:val="26"/>
          <w:szCs w:val="26"/>
        </w:rPr>
      </w:pPr>
      <w:r w:rsidRPr="004B405F">
        <w:rPr>
          <w:sz w:val="26"/>
          <w:szCs w:val="26"/>
        </w:rPr>
        <w:t>The defendant was a (licensee) (employee) (nonclient resident)</w:t>
      </w:r>
      <w:r w:rsidRPr="004B405F">
        <w:rPr>
          <w:sz w:val="26"/>
          <w:szCs w:val="26"/>
          <w:vertAlign w:val="superscript"/>
        </w:rPr>
        <w:t>1</w:t>
      </w:r>
      <w:r w:rsidRPr="004B405F">
        <w:rPr>
          <w:sz w:val="26"/>
          <w:szCs w:val="26"/>
        </w:rPr>
        <w:t xml:space="preserve"> of an entity.</w:t>
      </w:r>
    </w:p>
    <w:p w14:paraId="13023097" w14:textId="77777777" w:rsidR="00EC613C" w:rsidRPr="004B405F" w:rsidRDefault="00EC613C" w:rsidP="00927DE0">
      <w:pPr>
        <w:pStyle w:val="ListParagraph"/>
        <w:numPr>
          <w:ilvl w:val="0"/>
          <w:numId w:val="1"/>
        </w:numPr>
        <w:tabs>
          <w:tab w:val="left" w:pos="900"/>
        </w:tabs>
        <w:spacing w:line="480" w:lineRule="auto"/>
        <w:jc w:val="both"/>
        <w:rPr>
          <w:sz w:val="26"/>
          <w:szCs w:val="26"/>
        </w:rPr>
      </w:pPr>
      <w:r w:rsidRPr="004B405F">
        <w:rPr>
          <w:sz w:val="26"/>
          <w:szCs w:val="26"/>
        </w:rPr>
        <w:t xml:space="preserve">The defendant had sexual </w:t>
      </w:r>
      <w:r w:rsidR="00927DE0" w:rsidRPr="004B405F">
        <w:rPr>
          <w:sz w:val="26"/>
          <w:szCs w:val="26"/>
        </w:rPr>
        <w:t>(contact) (intercourse) with (</w:t>
      </w:r>
      <w:r w:rsidR="00927DE0" w:rsidRPr="004B405F">
        <w:rPr>
          <w:sz w:val="26"/>
          <w:szCs w:val="26"/>
          <w:u w:val="single"/>
        </w:rPr>
        <w:t>name of victim</w:t>
      </w:r>
      <w:r w:rsidR="00927DE0" w:rsidRPr="004B405F">
        <w:rPr>
          <w:sz w:val="26"/>
          <w:szCs w:val="26"/>
        </w:rPr>
        <w:t>)</w:t>
      </w:r>
      <w:r w:rsidRPr="004B405F">
        <w:rPr>
          <w:sz w:val="26"/>
          <w:szCs w:val="26"/>
        </w:rPr>
        <w:t>.</w:t>
      </w:r>
    </w:p>
    <w:p w14:paraId="560EBD10" w14:textId="77777777" w:rsidR="00EC613C" w:rsidRPr="004B405F" w:rsidRDefault="00EC613C" w:rsidP="00927DE0">
      <w:pPr>
        <w:spacing w:line="480" w:lineRule="auto"/>
        <w:ind w:firstLine="1260"/>
        <w:jc w:val="both"/>
        <w:rPr>
          <w:sz w:val="26"/>
          <w:szCs w:val="26"/>
          <w:vertAlign w:val="superscript"/>
        </w:rPr>
      </w:pPr>
      <w:r w:rsidRPr="004B405F">
        <w:rPr>
          <w:sz w:val="26"/>
          <w:szCs w:val="26"/>
        </w:rPr>
        <w:t xml:space="preserve">Consent to sexual </w:t>
      </w:r>
      <w:r w:rsidR="00927DE0" w:rsidRPr="004B405F">
        <w:rPr>
          <w:sz w:val="26"/>
          <w:szCs w:val="26"/>
        </w:rPr>
        <w:t>(contact) (intercourse) is not a defense.</w:t>
      </w:r>
      <w:r w:rsidR="00927DE0" w:rsidRPr="004B405F">
        <w:rPr>
          <w:sz w:val="26"/>
          <w:szCs w:val="26"/>
          <w:vertAlign w:val="superscript"/>
        </w:rPr>
        <w:t>2</w:t>
      </w:r>
    </w:p>
    <w:p w14:paraId="0E77EF19" w14:textId="77777777" w:rsidR="00EC613C" w:rsidRPr="004B405F" w:rsidRDefault="00EC613C" w:rsidP="00927DE0">
      <w:pPr>
        <w:tabs>
          <w:tab w:val="left" w:pos="900"/>
        </w:tabs>
        <w:spacing w:line="480" w:lineRule="auto"/>
        <w:ind w:left="450"/>
        <w:jc w:val="both"/>
        <w:rPr>
          <w:sz w:val="26"/>
          <w:szCs w:val="26"/>
        </w:rPr>
      </w:pPr>
      <w:r w:rsidRPr="004B405F">
        <w:rPr>
          <w:sz w:val="26"/>
          <w:szCs w:val="26"/>
        </w:rPr>
        <w:t>3.</w:t>
      </w:r>
      <w:r w:rsidRPr="004B405F">
        <w:rPr>
          <w:sz w:val="26"/>
          <w:szCs w:val="26"/>
        </w:rPr>
        <w:tab/>
        <w:t>(</w:t>
      </w:r>
      <w:r w:rsidRPr="004B405F">
        <w:rPr>
          <w:sz w:val="26"/>
          <w:szCs w:val="26"/>
          <w:u w:val="single"/>
        </w:rPr>
        <w:t>Name of victim</w:t>
      </w:r>
      <w:r w:rsidR="00927DE0" w:rsidRPr="004B405F">
        <w:rPr>
          <w:sz w:val="26"/>
          <w:szCs w:val="26"/>
        </w:rPr>
        <w:t>) was</w:t>
      </w:r>
      <w:r w:rsidRPr="004B405F">
        <w:rPr>
          <w:sz w:val="26"/>
          <w:szCs w:val="26"/>
        </w:rPr>
        <w:t xml:space="preserve"> a client of the entity.</w:t>
      </w:r>
    </w:p>
    <w:p w14:paraId="2A1C5538" w14:textId="77777777" w:rsidR="00EC613C" w:rsidRPr="004B405F" w:rsidRDefault="00927DE0" w:rsidP="00927DE0">
      <w:pPr>
        <w:spacing w:line="480" w:lineRule="auto"/>
        <w:ind w:left="900" w:firstLine="360"/>
        <w:jc w:val="both"/>
        <w:rPr>
          <w:sz w:val="26"/>
          <w:szCs w:val="26"/>
        </w:rPr>
      </w:pPr>
      <w:r w:rsidRPr="004B405F">
        <w:rPr>
          <w:sz w:val="26"/>
          <w:szCs w:val="26"/>
        </w:rPr>
        <w:t>“</w:t>
      </w:r>
      <w:r w:rsidR="00EC613C" w:rsidRPr="004B405F">
        <w:rPr>
          <w:sz w:val="26"/>
          <w:szCs w:val="26"/>
        </w:rPr>
        <w:t>Cli</w:t>
      </w:r>
      <w:r w:rsidRPr="004B405F">
        <w:rPr>
          <w:sz w:val="26"/>
          <w:szCs w:val="26"/>
        </w:rPr>
        <w:t>ent”</w:t>
      </w:r>
      <w:r w:rsidR="00EC613C" w:rsidRPr="004B405F">
        <w:rPr>
          <w:sz w:val="26"/>
          <w:szCs w:val="26"/>
        </w:rPr>
        <w:t xml:space="preserve"> means an individual who receives direct care or treatment services from an entity.</w:t>
      </w:r>
      <w:r w:rsidRPr="004B405F">
        <w:rPr>
          <w:sz w:val="26"/>
          <w:szCs w:val="26"/>
          <w:vertAlign w:val="superscript"/>
        </w:rPr>
        <w:t>3</w:t>
      </w:r>
      <w:r w:rsidR="00EC613C" w:rsidRPr="004B405F">
        <w:rPr>
          <w:sz w:val="26"/>
          <w:szCs w:val="26"/>
        </w:rPr>
        <w:t xml:space="preserve"> </w:t>
      </w:r>
    </w:p>
    <w:p w14:paraId="1BFE1598" w14:textId="31812769" w:rsidR="00EC613C" w:rsidRPr="004B405F" w:rsidRDefault="004B405F" w:rsidP="00927DE0">
      <w:pPr>
        <w:spacing w:line="480" w:lineRule="auto"/>
        <w:jc w:val="center"/>
        <w:rPr>
          <w:b/>
          <w:sz w:val="26"/>
          <w:szCs w:val="26"/>
        </w:rPr>
      </w:pPr>
      <w:r>
        <w:rPr>
          <w:b/>
          <w:sz w:val="26"/>
          <w:szCs w:val="26"/>
        </w:rPr>
        <w:t>Meaning of “Entity”</w:t>
      </w:r>
    </w:p>
    <w:p w14:paraId="7D8F304C" w14:textId="77777777" w:rsidR="00EC613C" w:rsidRPr="004B405F" w:rsidRDefault="00927DE0" w:rsidP="00927DE0">
      <w:pPr>
        <w:spacing w:line="480" w:lineRule="auto"/>
        <w:ind w:left="450"/>
        <w:jc w:val="both"/>
        <w:rPr>
          <w:sz w:val="26"/>
          <w:szCs w:val="26"/>
        </w:rPr>
      </w:pPr>
      <w:r w:rsidRPr="004B405F">
        <w:rPr>
          <w:sz w:val="26"/>
          <w:szCs w:val="26"/>
        </w:rPr>
        <w:t>“Entity”</w:t>
      </w:r>
      <w:r w:rsidR="00EC613C" w:rsidRPr="004B405F">
        <w:rPr>
          <w:sz w:val="26"/>
          <w:szCs w:val="26"/>
        </w:rPr>
        <w:t xml:space="preserve"> means ________________________.</w:t>
      </w:r>
      <w:r w:rsidR="00EC613C" w:rsidRPr="004B405F">
        <w:rPr>
          <w:sz w:val="26"/>
          <w:szCs w:val="26"/>
          <w:vertAlign w:val="superscript"/>
        </w:rPr>
        <w:t>4</w:t>
      </w:r>
      <w:r w:rsidR="00EC613C" w:rsidRPr="004B405F">
        <w:rPr>
          <w:sz w:val="26"/>
          <w:szCs w:val="26"/>
        </w:rPr>
        <w:t xml:space="preserve">                 </w:t>
      </w:r>
      <w:r w:rsidRPr="004B405F">
        <w:rPr>
          <w:sz w:val="26"/>
          <w:szCs w:val="26"/>
        </w:rPr>
        <w:t xml:space="preserve">                              </w:t>
      </w:r>
    </w:p>
    <w:p w14:paraId="2C1575A4" w14:textId="767D6A1F" w:rsidR="00D66031" w:rsidRPr="004B405F" w:rsidRDefault="00D66031" w:rsidP="00991351">
      <w:pPr>
        <w:spacing w:line="480" w:lineRule="auto"/>
        <w:rPr>
          <w:b/>
          <w:sz w:val="26"/>
          <w:szCs w:val="26"/>
        </w:rPr>
      </w:pPr>
    </w:p>
    <w:p w14:paraId="4E4EDDC8" w14:textId="77777777" w:rsidR="00EC613C" w:rsidRPr="004B405F" w:rsidRDefault="00927DE0" w:rsidP="00927DE0">
      <w:pPr>
        <w:spacing w:line="480" w:lineRule="auto"/>
        <w:jc w:val="center"/>
        <w:rPr>
          <w:b/>
          <w:sz w:val="26"/>
          <w:szCs w:val="26"/>
        </w:rPr>
      </w:pPr>
      <w:r w:rsidRPr="004B405F">
        <w:rPr>
          <w:b/>
          <w:sz w:val="26"/>
          <w:szCs w:val="26"/>
        </w:rPr>
        <w:lastRenderedPageBreak/>
        <w:t>Meaning of [“Sexual Contact”] [“Sexual Intercourse”</w:t>
      </w:r>
      <w:r w:rsidR="00EC613C" w:rsidRPr="004B405F">
        <w:rPr>
          <w:b/>
          <w:sz w:val="26"/>
          <w:szCs w:val="26"/>
        </w:rPr>
        <w:t>]</w:t>
      </w:r>
    </w:p>
    <w:p w14:paraId="429F2D41" w14:textId="0134B65B" w:rsidR="00EC613C" w:rsidRPr="004B405F" w:rsidRDefault="00EC613C" w:rsidP="00927DE0">
      <w:pPr>
        <w:ind w:left="450" w:right="450"/>
        <w:jc w:val="both"/>
        <w:rPr>
          <w:sz w:val="26"/>
          <w:szCs w:val="26"/>
        </w:rPr>
      </w:pPr>
      <w:r w:rsidRPr="004B405F">
        <w:rPr>
          <w:sz w:val="26"/>
          <w:szCs w:val="26"/>
        </w:rPr>
        <w:t xml:space="preserve">REFER TO WIS </w:t>
      </w:r>
      <w:r w:rsidR="00991351">
        <w:rPr>
          <w:sz w:val="26"/>
          <w:szCs w:val="26"/>
        </w:rPr>
        <w:t>JI-</w:t>
      </w:r>
      <w:r w:rsidRPr="004B405F">
        <w:rPr>
          <w:sz w:val="26"/>
          <w:szCs w:val="26"/>
        </w:rPr>
        <w:t>CR</w:t>
      </w:r>
      <w:r w:rsidR="00927DE0" w:rsidRPr="004B405F">
        <w:rPr>
          <w:sz w:val="26"/>
          <w:szCs w:val="26"/>
        </w:rPr>
        <w:t>IMINAL 1200A FOR DEFINITION OF “SEXUAL CONTACT”</w:t>
      </w:r>
      <w:r w:rsidR="00991351">
        <w:rPr>
          <w:sz w:val="26"/>
          <w:szCs w:val="26"/>
        </w:rPr>
        <w:t xml:space="preserve"> AND WIS JI-</w:t>
      </w:r>
      <w:r w:rsidRPr="004B405F">
        <w:rPr>
          <w:sz w:val="26"/>
          <w:szCs w:val="26"/>
        </w:rPr>
        <w:t>CR</w:t>
      </w:r>
      <w:r w:rsidR="00927DE0" w:rsidRPr="004B405F">
        <w:rPr>
          <w:sz w:val="26"/>
          <w:szCs w:val="26"/>
        </w:rPr>
        <w:t>IMINAL 1200B FOR DEFINITION OF “</w:t>
      </w:r>
      <w:r w:rsidRPr="004B405F">
        <w:rPr>
          <w:sz w:val="26"/>
          <w:szCs w:val="26"/>
        </w:rPr>
        <w:t xml:space="preserve">SEXUAL </w:t>
      </w:r>
      <w:r w:rsidR="00927DE0" w:rsidRPr="004B405F">
        <w:rPr>
          <w:sz w:val="26"/>
          <w:szCs w:val="26"/>
        </w:rPr>
        <w:t>INTERCOURSE”</w:t>
      </w:r>
      <w:r w:rsidRPr="004B405F">
        <w:rPr>
          <w:sz w:val="26"/>
          <w:szCs w:val="26"/>
        </w:rPr>
        <w:t xml:space="preserve"> AND INSERT THE APPROPRIATE DEFINITION HERE.</w:t>
      </w:r>
    </w:p>
    <w:p w14:paraId="6F97EA28" w14:textId="77777777" w:rsidR="00927DE0" w:rsidRPr="004B405F" w:rsidRDefault="00927DE0" w:rsidP="00927DE0">
      <w:pPr>
        <w:ind w:left="450" w:right="450"/>
        <w:jc w:val="both"/>
        <w:rPr>
          <w:sz w:val="26"/>
          <w:szCs w:val="26"/>
        </w:rPr>
      </w:pPr>
    </w:p>
    <w:p w14:paraId="31FEEEAD" w14:textId="77777777" w:rsidR="00EC613C" w:rsidRPr="004B405F" w:rsidRDefault="00927DE0" w:rsidP="00927DE0">
      <w:pPr>
        <w:spacing w:line="480" w:lineRule="auto"/>
        <w:jc w:val="center"/>
        <w:rPr>
          <w:b/>
          <w:sz w:val="26"/>
          <w:szCs w:val="26"/>
        </w:rPr>
      </w:pPr>
      <w:r w:rsidRPr="004B405F">
        <w:rPr>
          <w:b/>
          <w:sz w:val="26"/>
          <w:szCs w:val="26"/>
        </w:rPr>
        <w:t>Jury’</w:t>
      </w:r>
      <w:r w:rsidR="00EC613C" w:rsidRPr="004B405F">
        <w:rPr>
          <w:b/>
          <w:sz w:val="26"/>
          <w:szCs w:val="26"/>
        </w:rPr>
        <w:t>s Decision</w:t>
      </w:r>
    </w:p>
    <w:p w14:paraId="1C173D4A" w14:textId="77777777" w:rsidR="00EC613C" w:rsidRPr="004B405F" w:rsidRDefault="00EC613C" w:rsidP="00927DE0">
      <w:pPr>
        <w:spacing w:line="480" w:lineRule="auto"/>
        <w:ind w:firstLine="450"/>
        <w:jc w:val="both"/>
        <w:rPr>
          <w:sz w:val="26"/>
          <w:szCs w:val="26"/>
        </w:rPr>
      </w:pPr>
      <w:r w:rsidRPr="004B405F">
        <w:rPr>
          <w:sz w:val="26"/>
          <w:szCs w:val="26"/>
        </w:rPr>
        <w:t>If you are satisfied beyond a reasonable doubt that all three elements of second degree sexual assault have been proved, you should find the defendant guilty.</w:t>
      </w:r>
    </w:p>
    <w:p w14:paraId="4296FC93" w14:textId="77777777" w:rsidR="00756E03" w:rsidRPr="004B405F" w:rsidRDefault="00EC613C" w:rsidP="00927DE0">
      <w:pPr>
        <w:spacing w:line="480" w:lineRule="auto"/>
        <w:ind w:firstLine="450"/>
        <w:jc w:val="both"/>
        <w:rPr>
          <w:sz w:val="26"/>
          <w:szCs w:val="26"/>
        </w:rPr>
      </w:pPr>
      <w:r w:rsidRPr="004B405F">
        <w:rPr>
          <w:sz w:val="26"/>
          <w:szCs w:val="26"/>
        </w:rPr>
        <w:t>If you are not so satisfied, you must find the defendant not guilty.</w:t>
      </w:r>
    </w:p>
    <w:p w14:paraId="35647230" w14:textId="370CB731" w:rsidR="00EC613C" w:rsidRDefault="00EC613C" w:rsidP="00EC613C"/>
    <w:p w14:paraId="7DDCB6E7" w14:textId="283C6A99" w:rsidR="00991351" w:rsidRDefault="00991351" w:rsidP="00EC613C"/>
    <w:p w14:paraId="30D22BE7" w14:textId="7C91020E" w:rsidR="00991351" w:rsidRDefault="00991351" w:rsidP="00EC613C"/>
    <w:p w14:paraId="6208D2D6" w14:textId="223B3531" w:rsidR="00991351" w:rsidRDefault="00991351" w:rsidP="00EC613C"/>
    <w:p w14:paraId="54746B39" w14:textId="77777777" w:rsidR="00991351" w:rsidRPr="004B405F" w:rsidRDefault="00991351" w:rsidP="00EC613C"/>
    <w:p w14:paraId="697D6CA8" w14:textId="714D3CD9" w:rsidR="00EC613C" w:rsidRDefault="00EC613C" w:rsidP="00EC613C">
      <w:pPr>
        <w:rPr>
          <w:sz w:val="22"/>
          <w:szCs w:val="22"/>
        </w:rPr>
      </w:pPr>
    </w:p>
    <w:p w14:paraId="3B244798" w14:textId="77777777" w:rsidR="00B1458B" w:rsidRPr="004B405F" w:rsidRDefault="00B1458B" w:rsidP="00EC613C">
      <w:pPr>
        <w:rPr>
          <w:sz w:val="22"/>
          <w:szCs w:val="22"/>
        </w:rPr>
      </w:pPr>
    </w:p>
    <w:p w14:paraId="0BBE6557" w14:textId="77777777" w:rsidR="00EC613C" w:rsidRPr="004B405F" w:rsidRDefault="00EC613C" w:rsidP="00927DE0">
      <w:pPr>
        <w:jc w:val="both"/>
        <w:rPr>
          <w:b/>
          <w:sz w:val="22"/>
          <w:szCs w:val="22"/>
        </w:rPr>
      </w:pPr>
      <w:r w:rsidRPr="004B405F">
        <w:rPr>
          <w:b/>
          <w:sz w:val="22"/>
          <w:szCs w:val="22"/>
        </w:rPr>
        <w:t>COMMENT</w:t>
      </w:r>
    </w:p>
    <w:p w14:paraId="22427B32" w14:textId="77777777" w:rsidR="00EC613C" w:rsidRPr="004B405F" w:rsidRDefault="00EC613C" w:rsidP="00927DE0">
      <w:pPr>
        <w:jc w:val="both"/>
        <w:rPr>
          <w:sz w:val="22"/>
          <w:szCs w:val="22"/>
        </w:rPr>
      </w:pPr>
    </w:p>
    <w:p w14:paraId="6B7CF6AB" w14:textId="65D77375" w:rsidR="00927DE0" w:rsidRPr="004B405F" w:rsidRDefault="00D66031" w:rsidP="00927DE0">
      <w:pPr>
        <w:pStyle w:val="NoSpacing"/>
        <w:ind w:firstLine="450"/>
        <w:jc w:val="both"/>
        <w:rPr>
          <w:sz w:val="22"/>
          <w:szCs w:val="22"/>
        </w:rPr>
      </w:pPr>
      <w:r w:rsidRPr="004B405F">
        <w:rPr>
          <w:sz w:val="22"/>
          <w:szCs w:val="22"/>
        </w:rPr>
        <w:t>Wis JI-</w:t>
      </w:r>
      <w:r w:rsidR="00EC613C" w:rsidRPr="004B405F">
        <w:rPr>
          <w:sz w:val="22"/>
          <w:szCs w:val="22"/>
        </w:rPr>
        <w:t>Criminal 1217A was approved by the Committee in August 2006.</w:t>
      </w:r>
      <w:r w:rsidR="00927DE0" w:rsidRPr="004B405F">
        <w:rPr>
          <w:sz w:val="22"/>
          <w:szCs w:val="22"/>
        </w:rPr>
        <w:t xml:space="preserve"> This revision was approv</w:t>
      </w:r>
      <w:r w:rsidR="008916E2" w:rsidRPr="004B405F">
        <w:rPr>
          <w:sz w:val="22"/>
          <w:szCs w:val="22"/>
        </w:rPr>
        <w:t>ed by the Committee in December 2021</w:t>
      </w:r>
      <w:r w:rsidR="00927DE0" w:rsidRPr="004B405F">
        <w:rPr>
          <w:sz w:val="22"/>
          <w:szCs w:val="22"/>
        </w:rPr>
        <w:t>; it added to the comment.</w:t>
      </w:r>
    </w:p>
    <w:p w14:paraId="340FDF3B" w14:textId="77777777" w:rsidR="00EC613C" w:rsidRPr="004B405F" w:rsidRDefault="00EC613C" w:rsidP="00927DE0">
      <w:pPr>
        <w:jc w:val="both"/>
        <w:rPr>
          <w:sz w:val="22"/>
          <w:szCs w:val="22"/>
        </w:rPr>
      </w:pPr>
    </w:p>
    <w:p w14:paraId="5FF39D7E" w14:textId="77777777" w:rsidR="00EC613C" w:rsidRPr="004B405F" w:rsidRDefault="00EC613C" w:rsidP="00927DE0">
      <w:pPr>
        <w:ind w:firstLine="450"/>
        <w:jc w:val="both"/>
        <w:rPr>
          <w:sz w:val="22"/>
          <w:szCs w:val="22"/>
        </w:rPr>
      </w:pPr>
      <w:r w:rsidRPr="004B405F">
        <w:rPr>
          <w:sz w:val="22"/>
          <w:szCs w:val="22"/>
        </w:rPr>
        <w:t>Section 940.225(2)(j) was created by 1997 Wisconsin Act 388 (effective date: Dec. 1, 2006).</w:t>
      </w:r>
    </w:p>
    <w:p w14:paraId="1FEDDA6B" w14:textId="77777777" w:rsidR="00EC613C" w:rsidRPr="004B405F" w:rsidRDefault="00EC613C" w:rsidP="00927DE0">
      <w:pPr>
        <w:jc w:val="both"/>
        <w:rPr>
          <w:sz w:val="22"/>
          <w:szCs w:val="22"/>
        </w:rPr>
      </w:pPr>
    </w:p>
    <w:p w14:paraId="02E10714" w14:textId="77777777" w:rsidR="00EC613C" w:rsidRPr="004B405F" w:rsidRDefault="00EC613C" w:rsidP="00927DE0">
      <w:pPr>
        <w:ind w:firstLine="450"/>
        <w:jc w:val="both"/>
        <w:rPr>
          <w:sz w:val="22"/>
          <w:szCs w:val="22"/>
        </w:rPr>
      </w:pPr>
      <w:r w:rsidRPr="004B405F">
        <w:rPr>
          <w:sz w:val="22"/>
          <w:szCs w:val="22"/>
        </w:rPr>
        <w:t>The instruction provide</w:t>
      </w:r>
      <w:r w:rsidR="00D66031" w:rsidRPr="004B405F">
        <w:rPr>
          <w:sz w:val="22"/>
          <w:szCs w:val="22"/>
        </w:rPr>
        <w:t>s for inserting definitions of “sexual contact” and “sexual intercourse” provided in Wis JI-</w:t>
      </w:r>
      <w:r w:rsidRPr="004B405F">
        <w:rPr>
          <w:sz w:val="22"/>
          <w:szCs w:val="22"/>
        </w:rPr>
        <w:t>Criminal 1200A and 1200B.  That definitional material was formerly included in the text of each offense instruction.  When a new alternative was added to the statutory definition of sexual contact by 1995 Wisconsin Act 69, the Committee decided to modify its original approach by providing separate instructions for the definitions.  The Committee believes that this will be more convenient to the users of the instructions, making it easier to prepare an instruction that is tailored to the facts of the case.</w:t>
      </w:r>
    </w:p>
    <w:p w14:paraId="0DD93354" w14:textId="77777777" w:rsidR="00927DE0" w:rsidRPr="004B405F" w:rsidRDefault="00927DE0" w:rsidP="00927DE0">
      <w:pPr>
        <w:ind w:firstLine="450"/>
        <w:jc w:val="both"/>
        <w:rPr>
          <w:sz w:val="22"/>
          <w:szCs w:val="22"/>
        </w:rPr>
      </w:pPr>
    </w:p>
    <w:p w14:paraId="484541B9" w14:textId="4A5D54F7" w:rsidR="008916E2" w:rsidRPr="004B405F" w:rsidRDefault="008916E2" w:rsidP="008916E2">
      <w:pPr>
        <w:pStyle w:val="NoSpacing"/>
        <w:ind w:firstLine="450"/>
        <w:jc w:val="both"/>
        <w:rPr>
          <w:sz w:val="22"/>
          <w:szCs w:val="22"/>
        </w:rPr>
      </w:pPr>
      <w:r w:rsidRPr="004B405F">
        <w:rPr>
          <w:sz w:val="22"/>
          <w:szCs w:val="22"/>
        </w:rPr>
        <w:t xml:space="preserve">2021 Wisconsin Act 76 </w:t>
      </w:r>
      <w:r w:rsidRPr="004B405F">
        <w:rPr>
          <w:bCs/>
          <w:sz w:val="22"/>
          <w:szCs w:val="22"/>
        </w:rPr>
        <w:t xml:space="preserve">[effective date: August 8, 2021] created Wis. Stat. </w:t>
      </w:r>
      <w:r w:rsidRPr="004B405F">
        <w:rPr>
          <w:sz w:val="22"/>
          <w:szCs w:val="22"/>
        </w:rPr>
        <w:t>sec. 940.225(1)(d), w</w:t>
      </w:r>
      <w:r w:rsidR="004B405F" w:rsidRPr="004B405F">
        <w:rPr>
          <w:sz w:val="22"/>
          <w:szCs w:val="22"/>
        </w:rPr>
        <w:t xml:space="preserve">hich </w:t>
      </w:r>
      <w:r w:rsidRPr="004B405F">
        <w:rPr>
          <w:sz w:val="22"/>
          <w:szCs w:val="22"/>
        </w:rPr>
        <w:t xml:space="preserve">makes it a first degree sexual assault to commit what would otherwise be a second degree sexual assault “against an individual who is 60 years of age or older.” Wis JI-Criminal 1204 provides a model for integrating the instruction for the second degree offense into instruction for a violation of § 940.225(1)(d).  </w:t>
      </w:r>
    </w:p>
    <w:p w14:paraId="7E81E540" w14:textId="77777777" w:rsidR="00EC613C" w:rsidRPr="004B405F" w:rsidRDefault="00EC613C" w:rsidP="00927DE0">
      <w:pPr>
        <w:jc w:val="both"/>
        <w:rPr>
          <w:sz w:val="22"/>
          <w:szCs w:val="22"/>
        </w:rPr>
      </w:pPr>
    </w:p>
    <w:p w14:paraId="5844CC6C" w14:textId="77777777" w:rsidR="00927DE0" w:rsidRPr="004B405F" w:rsidRDefault="00EC613C" w:rsidP="00927DE0">
      <w:pPr>
        <w:pStyle w:val="ListParagraph"/>
        <w:numPr>
          <w:ilvl w:val="0"/>
          <w:numId w:val="2"/>
        </w:numPr>
        <w:tabs>
          <w:tab w:val="left" w:pos="900"/>
        </w:tabs>
        <w:ind w:left="0" w:firstLine="450"/>
        <w:jc w:val="both"/>
        <w:rPr>
          <w:sz w:val="22"/>
          <w:szCs w:val="22"/>
        </w:rPr>
      </w:pPr>
      <w:r w:rsidRPr="004B405F">
        <w:rPr>
          <w:sz w:val="22"/>
          <w:szCs w:val="22"/>
        </w:rPr>
        <w:t>Section 940.225(5)(ak), created by 2</w:t>
      </w:r>
      <w:r w:rsidR="00927DE0" w:rsidRPr="004B405F">
        <w:rPr>
          <w:sz w:val="22"/>
          <w:szCs w:val="22"/>
        </w:rPr>
        <w:t>005 Wisconsin Act 388, defines “nonclient resident” as follows:  “</w:t>
      </w:r>
      <w:r w:rsidRPr="004B405F">
        <w:rPr>
          <w:sz w:val="22"/>
          <w:szCs w:val="22"/>
        </w:rPr>
        <w:t>. . . an individual who resides, or is expected to reside, at an entity, who is not a client of the entity, and who has, or is expected to have, regular, direct contact with the client</w:t>
      </w:r>
      <w:r w:rsidR="00927DE0" w:rsidRPr="004B405F">
        <w:rPr>
          <w:sz w:val="22"/>
          <w:szCs w:val="22"/>
        </w:rPr>
        <w:t>s of the entity.”</w:t>
      </w:r>
    </w:p>
    <w:p w14:paraId="626334F5" w14:textId="77777777" w:rsidR="00927DE0" w:rsidRPr="004B405F" w:rsidRDefault="00927DE0" w:rsidP="00927DE0">
      <w:pPr>
        <w:pStyle w:val="ListParagraph"/>
        <w:tabs>
          <w:tab w:val="left" w:pos="900"/>
        </w:tabs>
        <w:ind w:left="450"/>
        <w:jc w:val="both"/>
        <w:rPr>
          <w:sz w:val="22"/>
          <w:szCs w:val="22"/>
        </w:rPr>
      </w:pPr>
    </w:p>
    <w:p w14:paraId="12F38029" w14:textId="77777777" w:rsidR="00927DE0" w:rsidRPr="004B405F" w:rsidRDefault="00927DE0" w:rsidP="00927DE0">
      <w:pPr>
        <w:pStyle w:val="ListParagraph"/>
        <w:numPr>
          <w:ilvl w:val="0"/>
          <w:numId w:val="2"/>
        </w:numPr>
        <w:tabs>
          <w:tab w:val="left" w:pos="900"/>
        </w:tabs>
        <w:ind w:left="0" w:firstLine="450"/>
        <w:jc w:val="both"/>
        <w:rPr>
          <w:sz w:val="22"/>
          <w:szCs w:val="22"/>
        </w:rPr>
      </w:pPr>
      <w:r w:rsidRPr="004B405F">
        <w:rPr>
          <w:sz w:val="22"/>
          <w:szCs w:val="22"/>
        </w:rPr>
        <w:lastRenderedPageBreak/>
        <w:t>“Without consent”</w:t>
      </w:r>
      <w:r w:rsidR="00EC613C" w:rsidRPr="004B405F">
        <w:rPr>
          <w:sz w:val="22"/>
          <w:szCs w:val="22"/>
        </w:rPr>
        <w:t xml:space="preserve"> is not an element of this offense because it is not included in the offense definition.  The Committee concluded that it may be helpful to advise the jury of this fact.</w:t>
      </w:r>
    </w:p>
    <w:p w14:paraId="2288609D" w14:textId="77777777" w:rsidR="00927DE0" w:rsidRPr="004B405F" w:rsidRDefault="00927DE0" w:rsidP="00927DE0">
      <w:pPr>
        <w:pStyle w:val="ListParagraph"/>
        <w:jc w:val="both"/>
        <w:rPr>
          <w:sz w:val="22"/>
          <w:szCs w:val="22"/>
        </w:rPr>
      </w:pPr>
    </w:p>
    <w:p w14:paraId="64EF37F5" w14:textId="77777777" w:rsidR="00927DE0" w:rsidRPr="004B405F" w:rsidRDefault="00EC613C" w:rsidP="00927DE0">
      <w:pPr>
        <w:pStyle w:val="ListParagraph"/>
        <w:numPr>
          <w:ilvl w:val="0"/>
          <w:numId w:val="2"/>
        </w:numPr>
        <w:tabs>
          <w:tab w:val="left" w:pos="900"/>
        </w:tabs>
        <w:ind w:left="0" w:firstLine="450"/>
        <w:jc w:val="both"/>
        <w:rPr>
          <w:sz w:val="22"/>
          <w:szCs w:val="22"/>
        </w:rPr>
      </w:pPr>
      <w:r w:rsidRPr="004B405F">
        <w:rPr>
          <w:sz w:val="22"/>
          <w:szCs w:val="22"/>
        </w:rPr>
        <w:t>This is the definition provided in s. 940.225(5)(abm), which was created by 2005 Wisconsin Act 388.</w:t>
      </w:r>
    </w:p>
    <w:p w14:paraId="48429270" w14:textId="77777777" w:rsidR="00927DE0" w:rsidRPr="004B405F" w:rsidRDefault="00927DE0" w:rsidP="00927DE0">
      <w:pPr>
        <w:pStyle w:val="ListParagraph"/>
        <w:jc w:val="both"/>
        <w:rPr>
          <w:sz w:val="22"/>
          <w:szCs w:val="22"/>
        </w:rPr>
      </w:pPr>
    </w:p>
    <w:p w14:paraId="3CF8A3C3" w14:textId="77777777" w:rsidR="00EC613C" w:rsidRPr="00927DE0" w:rsidRDefault="00EC613C" w:rsidP="00927DE0">
      <w:pPr>
        <w:pStyle w:val="ListParagraph"/>
        <w:numPr>
          <w:ilvl w:val="0"/>
          <w:numId w:val="2"/>
        </w:numPr>
        <w:tabs>
          <w:tab w:val="left" w:pos="900"/>
        </w:tabs>
        <w:ind w:left="0" w:firstLine="450"/>
        <w:jc w:val="both"/>
        <w:rPr>
          <w:sz w:val="22"/>
          <w:szCs w:val="22"/>
        </w:rPr>
      </w:pPr>
      <w:r w:rsidRPr="004B405F">
        <w:rPr>
          <w:sz w:val="22"/>
          <w:szCs w:val="22"/>
        </w:rPr>
        <w:t>S</w:t>
      </w:r>
      <w:r w:rsidR="00927DE0" w:rsidRPr="004B405F">
        <w:rPr>
          <w:sz w:val="22"/>
          <w:szCs w:val="22"/>
        </w:rPr>
        <w:t>ection 940.225(2)(j) refers to “</w:t>
      </w:r>
      <w:r w:rsidRPr="004B405F">
        <w:rPr>
          <w:sz w:val="22"/>
          <w:szCs w:val="22"/>
        </w:rPr>
        <w:t>an entity,</w:t>
      </w:r>
      <w:r w:rsidR="00D66031" w:rsidRPr="004B405F">
        <w:rPr>
          <w:sz w:val="22"/>
          <w:szCs w:val="22"/>
        </w:rPr>
        <w:t>”</w:t>
      </w:r>
      <w:r w:rsidRPr="004B405F">
        <w:rPr>
          <w:sz w:val="22"/>
          <w:szCs w:val="22"/>
        </w:rPr>
        <w:t xml:space="preserve"> as defined in s. 48.685(1)(b) or 50.065(1)(c).  The Committee recommends choosing the applicable </w:t>
      </w:r>
      <w:r w:rsidRPr="00927DE0">
        <w:rPr>
          <w:sz w:val="22"/>
          <w:szCs w:val="22"/>
        </w:rPr>
        <w:t>part of applicable definition and inserting it in the blank.</w:t>
      </w:r>
    </w:p>
    <w:sectPr w:rsidR="00EC613C" w:rsidRPr="00927DE0" w:rsidSect="004B405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D56B5" w14:textId="77777777" w:rsidR="00EC613C" w:rsidRDefault="00EC613C" w:rsidP="00EC613C">
      <w:r>
        <w:separator/>
      </w:r>
    </w:p>
  </w:endnote>
  <w:endnote w:type="continuationSeparator" w:id="0">
    <w:p w14:paraId="54D7B0EA" w14:textId="77777777" w:rsidR="00EC613C" w:rsidRDefault="00EC613C" w:rsidP="00EC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E946E" w14:textId="77777777" w:rsidR="008916E2" w:rsidRDefault="008916E2" w:rsidP="00927DE0">
    <w:pPr>
      <w:pStyle w:val="Footer"/>
      <w:jc w:val="both"/>
      <w:rPr>
        <w:rFonts w:ascii="Arial" w:hAnsi="Arial" w:cs="Arial"/>
        <w:sz w:val="20"/>
        <w:szCs w:val="20"/>
      </w:rPr>
    </w:pPr>
  </w:p>
  <w:p w14:paraId="199F6086" w14:textId="3A75A061" w:rsidR="00927DE0" w:rsidRPr="00927DE0" w:rsidRDefault="00927DE0" w:rsidP="00927DE0">
    <w:pPr>
      <w:pStyle w:val="Footer"/>
      <w:jc w:val="both"/>
      <w:rPr>
        <w:rFonts w:ascii="Arial" w:hAnsi="Arial" w:cs="Arial"/>
        <w:sz w:val="20"/>
        <w:szCs w:val="20"/>
      </w:rPr>
    </w:pPr>
    <w:r w:rsidRPr="00927DE0">
      <w:rPr>
        <w:rFonts w:ascii="Arial" w:hAnsi="Arial" w:cs="Arial"/>
        <w:sz w:val="20"/>
        <w:szCs w:val="20"/>
      </w:rPr>
      <w:t>Wisconsin</w:t>
    </w:r>
    <w:r w:rsidR="004B405F">
      <w:rPr>
        <w:rFonts w:ascii="Arial" w:hAnsi="Arial" w:cs="Arial"/>
        <w:sz w:val="20"/>
        <w:szCs w:val="20"/>
      </w:rPr>
      <w:t xml:space="preserve"> Court System, 2022</w:t>
    </w:r>
    <w:r w:rsidR="004B405F">
      <w:rPr>
        <w:rFonts w:ascii="Arial" w:hAnsi="Arial" w:cs="Arial"/>
        <w:sz w:val="20"/>
        <w:szCs w:val="20"/>
      </w:rPr>
      <w:tab/>
    </w:r>
    <w:r w:rsidR="004B405F">
      <w:rPr>
        <w:rFonts w:ascii="Arial" w:hAnsi="Arial" w:cs="Arial"/>
        <w:sz w:val="20"/>
        <w:szCs w:val="20"/>
      </w:rPr>
      <w:tab/>
      <w:t>(Release No. 60</w:t>
    </w:r>
    <w:r w:rsidRPr="00927DE0">
      <w:rPr>
        <w:rFonts w:ascii="Arial" w:hAnsi="Arial" w:cs="Arial"/>
        <w:sz w:val="20"/>
        <w:szCs w:val="20"/>
      </w:rPr>
      <w:t>)</w:t>
    </w:r>
  </w:p>
  <w:p w14:paraId="1246C5C1" w14:textId="37BCD30F" w:rsidR="00927DE0" w:rsidRPr="00927DE0" w:rsidRDefault="00991351">
    <w:pPr>
      <w:pStyle w:val="Footer"/>
      <w:jc w:val="center"/>
      <w:rPr>
        <w:rFonts w:ascii="Arial" w:hAnsi="Arial" w:cs="Arial"/>
        <w:sz w:val="20"/>
        <w:szCs w:val="20"/>
      </w:rPr>
    </w:pPr>
    <w:sdt>
      <w:sdtPr>
        <w:rPr>
          <w:rFonts w:ascii="Arial" w:hAnsi="Arial" w:cs="Arial"/>
          <w:sz w:val="20"/>
          <w:szCs w:val="20"/>
        </w:rPr>
        <w:id w:val="1657807663"/>
        <w:docPartObj>
          <w:docPartGallery w:val="Page Numbers (Bottom of Page)"/>
          <w:docPartUnique/>
        </w:docPartObj>
      </w:sdtPr>
      <w:sdtEndPr>
        <w:rPr>
          <w:noProof/>
        </w:rPr>
      </w:sdtEndPr>
      <w:sdtContent>
        <w:r w:rsidR="00927DE0" w:rsidRPr="00927DE0">
          <w:rPr>
            <w:rFonts w:ascii="Arial" w:hAnsi="Arial" w:cs="Arial"/>
            <w:sz w:val="20"/>
            <w:szCs w:val="20"/>
          </w:rPr>
          <w:fldChar w:fldCharType="begin"/>
        </w:r>
        <w:r w:rsidR="00927DE0" w:rsidRPr="00927DE0">
          <w:rPr>
            <w:rFonts w:ascii="Arial" w:hAnsi="Arial" w:cs="Arial"/>
            <w:sz w:val="20"/>
            <w:szCs w:val="20"/>
          </w:rPr>
          <w:instrText xml:space="preserve"> PAGE   \* MERGEFORMAT </w:instrText>
        </w:r>
        <w:r w:rsidR="00927DE0" w:rsidRPr="00927DE0">
          <w:rPr>
            <w:rFonts w:ascii="Arial" w:hAnsi="Arial" w:cs="Arial"/>
            <w:sz w:val="20"/>
            <w:szCs w:val="20"/>
          </w:rPr>
          <w:fldChar w:fldCharType="separate"/>
        </w:r>
        <w:r>
          <w:rPr>
            <w:rFonts w:ascii="Arial" w:hAnsi="Arial" w:cs="Arial"/>
            <w:noProof/>
            <w:sz w:val="20"/>
            <w:szCs w:val="20"/>
          </w:rPr>
          <w:t>3</w:t>
        </w:r>
        <w:r w:rsidR="00927DE0" w:rsidRPr="00927DE0">
          <w:rPr>
            <w:rFonts w:ascii="Arial" w:hAnsi="Arial" w:cs="Arial"/>
            <w:noProof/>
            <w:sz w:val="20"/>
            <w:szCs w:val="20"/>
          </w:rPr>
          <w:fldChar w:fldCharType="end"/>
        </w:r>
      </w:sdtContent>
    </w:sdt>
  </w:p>
  <w:p w14:paraId="401D451F" w14:textId="77777777" w:rsidR="00927DE0" w:rsidRDefault="00927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A5302" w14:textId="77777777" w:rsidR="00EC613C" w:rsidRDefault="00EC613C" w:rsidP="00EC613C">
      <w:r>
        <w:separator/>
      </w:r>
    </w:p>
  </w:footnote>
  <w:footnote w:type="continuationSeparator" w:id="0">
    <w:p w14:paraId="706E3C04" w14:textId="77777777" w:rsidR="00EC613C" w:rsidRDefault="00EC613C" w:rsidP="00EC6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7261A" w14:textId="77777777" w:rsidR="00EC613C" w:rsidRDefault="00EC613C" w:rsidP="00EC613C">
    <w:pPr>
      <w:tabs>
        <w:tab w:val="center" w:pos="4680"/>
        <w:tab w:val="right" w:pos="9360"/>
      </w:tabs>
      <w:jc w:val="both"/>
      <w:rPr>
        <w:rFonts w:ascii="Arial" w:hAnsi="Arial" w:cs="Arial"/>
        <w:b/>
        <w:bCs/>
        <w:sz w:val="28"/>
        <w:szCs w:val="28"/>
      </w:rPr>
    </w:pPr>
  </w:p>
  <w:p w14:paraId="529D9D2B" w14:textId="77777777" w:rsidR="00EC613C" w:rsidRDefault="00EC613C" w:rsidP="00EC613C">
    <w:pPr>
      <w:tabs>
        <w:tab w:val="center" w:pos="4680"/>
        <w:tab w:val="right" w:pos="9360"/>
      </w:tabs>
      <w:jc w:val="both"/>
      <w:rPr>
        <w:rFonts w:ascii="Arial" w:hAnsi="Arial" w:cs="Arial"/>
        <w:b/>
        <w:bCs/>
        <w:sz w:val="28"/>
        <w:szCs w:val="28"/>
      </w:rPr>
    </w:pPr>
    <w:r w:rsidRPr="00EC613C">
      <w:rPr>
        <w:rFonts w:ascii="Arial" w:hAnsi="Arial" w:cs="Arial"/>
        <w:b/>
        <w:bCs/>
        <w:sz w:val="28"/>
        <w:szCs w:val="28"/>
      </w:rPr>
      <w:t>1217A</w:t>
    </w:r>
    <w:r w:rsidRPr="00EC613C">
      <w:rPr>
        <w:rFonts w:ascii="Arial" w:hAnsi="Arial" w:cs="Arial"/>
        <w:b/>
        <w:bCs/>
        <w:sz w:val="28"/>
        <w:szCs w:val="28"/>
      </w:rPr>
      <w:tab/>
      <w:t>WIS JI</w:t>
    </w:r>
    <w:r w:rsidRPr="00EC613C">
      <w:rPr>
        <w:rFonts w:ascii="Arial" w:hAnsi="Arial" w:cs="Arial"/>
        <w:b/>
        <w:bCs/>
        <w:sz w:val="28"/>
        <w:szCs w:val="28"/>
      </w:rPr>
      <w:noBreakHyphen/>
      <w:t>CRIMINAL</w:t>
    </w:r>
    <w:r w:rsidRPr="00EC613C">
      <w:rPr>
        <w:rFonts w:ascii="Arial" w:hAnsi="Arial" w:cs="Arial"/>
        <w:b/>
        <w:bCs/>
        <w:sz w:val="28"/>
        <w:szCs w:val="28"/>
      </w:rPr>
      <w:tab/>
      <w:t>1217A</w:t>
    </w:r>
  </w:p>
  <w:p w14:paraId="78EEC297" w14:textId="7536BA2B" w:rsidR="00B1458B" w:rsidRDefault="00B1458B">
    <w:pPr>
      <w:pStyle w:val="Header"/>
      <w:rPr>
        <w:rFonts w:ascii="Arial" w:hAnsi="Arial" w:cs="Arial"/>
        <w:sz w:val="28"/>
        <w:szCs w:val="28"/>
      </w:rPr>
    </w:pPr>
  </w:p>
  <w:p w14:paraId="4F910326" w14:textId="77777777" w:rsidR="00991351" w:rsidRDefault="00991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820BA"/>
    <w:multiLevelType w:val="hybridMultilevel"/>
    <w:tmpl w:val="0B60DA54"/>
    <w:lvl w:ilvl="0" w:tplc="3146DB6A">
      <w:start w:val="1"/>
      <w:numFmt w:val="decimal"/>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D08774F"/>
    <w:multiLevelType w:val="hybridMultilevel"/>
    <w:tmpl w:val="90AE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3C"/>
    <w:rsid w:val="001018C9"/>
    <w:rsid w:val="004B405F"/>
    <w:rsid w:val="006F49CE"/>
    <w:rsid w:val="00756E03"/>
    <w:rsid w:val="007B2963"/>
    <w:rsid w:val="008916E2"/>
    <w:rsid w:val="00927DE0"/>
    <w:rsid w:val="00991351"/>
    <w:rsid w:val="00B1458B"/>
    <w:rsid w:val="00D66031"/>
    <w:rsid w:val="00EC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9315"/>
  <w15:chartTrackingRefBased/>
  <w15:docId w15:val="{D12D0388-99EE-464C-9E5B-13C03DCE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1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13C"/>
    <w:pPr>
      <w:tabs>
        <w:tab w:val="center" w:pos="4680"/>
        <w:tab w:val="right" w:pos="9360"/>
      </w:tabs>
    </w:pPr>
  </w:style>
  <w:style w:type="character" w:customStyle="1" w:styleId="HeaderChar">
    <w:name w:val="Header Char"/>
    <w:basedOn w:val="DefaultParagraphFont"/>
    <w:link w:val="Header"/>
    <w:uiPriority w:val="99"/>
    <w:rsid w:val="00EC613C"/>
  </w:style>
  <w:style w:type="paragraph" w:styleId="Footer">
    <w:name w:val="footer"/>
    <w:basedOn w:val="Normal"/>
    <w:link w:val="FooterChar"/>
    <w:uiPriority w:val="99"/>
    <w:unhideWhenUsed/>
    <w:rsid w:val="00EC613C"/>
    <w:pPr>
      <w:tabs>
        <w:tab w:val="center" w:pos="4680"/>
        <w:tab w:val="right" w:pos="9360"/>
      </w:tabs>
    </w:pPr>
  </w:style>
  <w:style w:type="character" w:customStyle="1" w:styleId="FooterChar">
    <w:name w:val="Footer Char"/>
    <w:basedOn w:val="DefaultParagraphFont"/>
    <w:link w:val="Footer"/>
    <w:uiPriority w:val="99"/>
    <w:rsid w:val="00EC613C"/>
  </w:style>
  <w:style w:type="paragraph" w:styleId="NoSpacing">
    <w:name w:val="No Spacing"/>
    <w:uiPriority w:val="1"/>
    <w:qFormat/>
    <w:rsid w:val="00EC61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613C"/>
    <w:pPr>
      <w:ind w:left="720"/>
      <w:contextualSpacing/>
    </w:pPr>
  </w:style>
  <w:style w:type="character" w:styleId="LineNumber">
    <w:name w:val="line number"/>
    <w:basedOn w:val="DefaultParagraphFont"/>
    <w:uiPriority w:val="99"/>
    <w:semiHidden/>
    <w:unhideWhenUsed/>
    <w:rsid w:val="00D66031"/>
  </w:style>
  <w:style w:type="character" w:styleId="CommentReference">
    <w:name w:val="annotation reference"/>
    <w:basedOn w:val="DefaultParagraphFont"/>
    <w:uiPriority w:val="99"/>
    <w:semiHidden/>
    <w:unhideWhenUsed/>
    <w:rsid w:val="00D66031"/>
    <w:rPr>
      <w:sz w:val="16"/>
      <w:szCs w:val="16"/>
    </w:rPr>
  </w:style>
  <w:style w:type="paragraph" w:styleId="CommentText">
    <w:name w:val="annotation text"/>
    <w:basedOn w:val="Normal"/>
    <w:link w:val="CommentTextChar"/>
    <w:uiPriority w:val="99"/>
    <w:semiHidden/>
    <w:unhideWhenUsed/>
    <w:rsid w:val="00D66031"/>
    <w:rPr>
      <w:sz w:val="20"/>
      <w:szCs w:val="20"/>
    </w:rPr>
  </w:style>
  <w:style w:type="character" w:customStyle="1" w:styleId="CommentTextChar">
    <w:name w:val="Comment Text Char"/>
    <w:basedOn w:val="DefaultParagraphFont"/>
    <w:link w:val="CommentText"/>
    <w:uiPriority w:val="99"/>
    <w:semiHidden/>
    <w:rsid w:val="00D660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6031"/>
    <w:rPr>
      <w:b/>
      <w:bCs/>
    </w:rPr>
  </w:style>
  <w:style w:type="character" w:customStyle="1" w:styleId="CommentSubjectChar">
    <w:name w:val="Comment Subject Char"/>
    <w:basedOn w:val="CommentTextChar"/>
    <w:link w:val="CommentSubject"/>
    <w:uiPriority w:val="99"/>
    <w:semiHidden/>
    <w:rsid w:val="00D6603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6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0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Pierson</dc:creator>
  <cp:keywords/>
  <dc:description/>
  <cp:lastModifiedBy>Bryce Pierson</cp:lastModifiedBy>
  <cp:revision>3</cp:revision>
  <dcterms:created xsi:type="dcterms:W3CDTF">2022-06-23T15:45:00Z</dcterms:created>
  <dcterms:modified xsi:type="dcterms:W3CDTF">2022-06-29T20:09:00Z</dcterms:modified>
</cp:coreProperties>
</file>