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C49EE" w14:textId="77777777" w:rsidR="009264F7" w:rsidRPr="009264F7" w:rsidRDefault="009264F7" w:rsidP="009264F7">
      <w:pPr>
        <w:pStyle w:val="NoSpacing"/>
        <w:tabs>
          <w:tab w:val="left" w:pos="900"/>
        </w:tabs>
        <w:ind w:left="900" w:hanging="900"/>
        <w:jc w:val="both"/>
        <w:rPr>
          <w:rFonts w:ascii="Times New Roman" w:hAnsi="Times New Roman" w:cs="Times New Roman"/>
          <w:b/>
          <w:bCs/>
          <w:sz w:val="26"/>
          <w:szCs w:val="26"/>
        </w:rPr>
      </w:pPr>
      <w:r w:rsidRPr="009264F7">
        <w:rPr>
          <w:rFonts w:ascii="Times New Roman" w:hAnsi="Times New Roman" w:cs="Times New Roman"/>
          <w:b/>
          <w:bCs/>
          <w:sz w:val="26"/>
          <w:szCs w:val="26"/>
        </w:rPr>
        <w:t>1218A</w:t>
      </w:r>
      <w:r w:rsidRPr="009264F7">
        <w:rPr>
          <w:rFonts w:ascii="Times New Roman" w:hAnsi="Times New Roman" w:cs="Times New Roman"/>
          <w:b/>
          <w:bCs/>
          <w:sz w:val="26"/>
          <w:szCs w:val="26"/>
        </w:rPr>
        <w:tab/>
        <w:t>THIRD DEGREE SEXUAL ASSAULT: SEXUAL INTERCOURSE WITHOUT CONSENT — § 940.225(3)(a)</w:t>
      </w:r>
    </w:p>
    <w:p w14:paraId="18FD149E" w14:textId="409F9A3A" w:rsidR="009264F7" w:rsidRDefault="009264F7" w:rsidP="009264F7">
      <w:pPr>
        <w:pStyle w:val="NoSpacing"/>
        <w:jc w:val="both"/>
        <w:rPr>
          <w:rFonts w:ascii="Times New Roman" w:hAnsi="Times New Roman" w:cs="Times New Roman"/>
          <w:sz w:val="26"/>
          <w:szCs w:val="26"/>
        </w:rPr>
      </w:pPr>
    </w:p>
    <w:p w14:paraId="45EC7C89" w14:textId="77777777" w:rsidR="009264F7" w:rsidRPr="009264F7" w:rsidRDefault="009264F7" w:rsidP="009264F7">
      <w:pPr>
        <w:pStyle w:val="NoSpacing"/>
        <w:jc w:val="both"/>
        <w:rPr>
          <w:rFonts w:ascii="Times New Roman" w:hAnsi="Times New Roman" w:cs="Times New Roman"/>
          <w:sz w:val="26"/>
          <w:szCs w:val="26"/>
        </w:rPr>
      </w:pPr>
    </w:p>
    <w:p w14:paraId="400CAD1E" w14:textId="14393E14" w:rsidR="009264F7" w:rsidRPr="00A86E7A" w:rsidRDefault="009264F7" w:rsidP="009264F7">
      <w:pPr>
        <w:pStyle w:val="NoSpacing"/>
        <w:tabs>
          <w:tab w:val="left" w:pos="720"/>
        </w:tabs>
        <w:spacing w:line="480" w:lineRule="auto"/>
        <w:ind w:left="720" w:hanging="720"/>
        <w:jc w:val="center"/>
        <w:rPr>
          <w:rFonts w:ascii="Times New Roman" w:hAnsi="Times New Roman" w:cs="Times New Roman"/>
          <w:b/>
          <w:bCs/>
          <w:sz w:val="26"/>
          <w:szCs w:val="26"/>
        </w:rPr>
      </w:pPr>
      <w:r w:rsidRPr="00A86E7A">
        <w:rPr>
          <w:rFonts w:ascii="Times New Roman" w:hAnsi="Times New Roman" w:cs="Times New Roman"/>
          <w:b/>
          <w:bCs/>
          <w:sz w:val="26"/>
          <w:szCs w:val="26"/>
        </w:rPr>
        <w:t>Statutory Definition of the Crime</w:t>
      </w:r>
    </w:p>
    <w:p w14:paraId="415A28D2" w14:textId="77777777" w:rsidR="009264F7" w:rsidRPr="00A86E7A" w:rsidRDefault="009264F7" w:rsidP="009264F7">
      <w:pPr>
        <w:pStyle w:val="NoSpacing"/>
        <w:spacing w:line="480" w:lineRule="auto"/>
        <w:ind w:firstLine="450"/>
        <w:jc w:val="both"/>
        <w:rPr>
          <w:rFonts w:ascii="Times New Roman" w:hAnsi="Times New Roman" w:cs="Times New Roman"/>
          <w:sz w:val="26"/>
          <w:szCs w:val="26"/>
        </w:rPr>
      </w:pPr>
      <w:r w:rsidRPr="00A86E7A">
        <w:rPr>
          <w:rFonts w:ascii="Times New Roman" w:hAnsi="Times New Roman" w:cs="Times New Roman"/>
          <w:sz w:val="26"/>
          <w:szCs w:val="26"/>
        </w:rPr>
        <w:t>Third degree sexual assault, as defined in § 940.225(3)(a) of the Criminal Code of Wisconsin, is committed by one who has sexual intercourse with another person without consent.</w:t>
      </w:r>
    </w:p>
    <w:p w14:paraId="3ADCE0B9" w14:textId="4CA4D313" w:rsidR="009264F7" w:rsidRPr="00A86E7A" w:rsidRDefault="009264F7" w:rsidP="009264F7">
      <w:pPr>
        <w:pStyle w:val="NoSpacing"/>
        <w:spacing w:line="480" w:lineRule="auto"/>
        <w:jc w:val="center"/>
        <w:rPr>
          <w:rFonts w:ascii="Times New Roman" w:hAnsi="Times New Roman" w:cs="Times New Roman"/>
          <w:b/>
          <w:bCs/>
          <w:sz w:val="26"/>
          <w:szCs w:val="26"/>
        </w:rPr>
      </w:pPr>
      <w:r w:rsidRPr="00A86E7A">
        <w:rPr>
          <w:rFonts w:ascii="Times New Roman" w:hAnsi="Times New Roman" w:cs="Times New Roman"/>
          <w:b/>
          <w:bCs/>
          <w:sz w:val="26"/>
          <w:szCs w:val="26"/>
        </w:rPr>
        <w:t>State’s Burden of Proof</w:t>
      </w:r>
    </w:p>
    <w:p w14:paraId="46A5EA48" w14:textId="77777777" w:rsidR="009264F7" w:rsidRPr="00A86E7A" w:rsidRDefault="009264F7" w:rsidP="009264F7">
      <w:pPr>
        <w:pStyle w:val="NoSpacing"/>
        <w:spacing w:line="480" w:lineRule="auto"/>
        <w:ind w:firstLine="450"/>
        <w:jc w:val="both"/>
        <w:rPr>
          <w:rFonts w:ascii="Times New Roman" w:hAnsi="Times New Roman" w:cs="Times New Roman"/>
          <w:sz w:val="26"/>
          <w:szCs w:val="26"/>
        </w:rPr>
      </w:pPr>
      <w:r w:rsidRPr="00A86E7A">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66199429" w14:textId="2F732789" w:rsidR="009264F7" w:rsidRPr="00A86E7A" w:rsidRDefault="009264F7" w:rsidP="009264F7">
      <w:pPr>
        <w:pStyle w:val="NoSpacing"/>
        <w:spacing w:line="480" w:lineRule="auto"/>
        <w:jc w:val="center"/>
        <w:rPr>
          <w:rFonts w:ascii="Times New Roman" w:hAnsi="Times New Roman" w:cs="Times New Roman"/>
          <w:b/>
          <w:bCs/>
          <w:sz w:val="26"/>
          <w:szCs w:val="26"/>
        </w:rPr>
      </w:pPr>
      <w:r w:rsidRPr="00A86E7A">
        <w:rPr>
          <w:rFonts w:ascii="Times New Roman" w:hAnsi="Times New Roman" w:cs="Times New Roman"/>
          <w:b/>
          <w:bCs/>
          <w:sz w:val="26"/>
          <w:szCs w:val="26"/>
        </w:rPr>
        <w:t>Elements of the Crime That the State Must Prove</w:t>
      </w:r>
    </w:p>
    <w:p w14:paraId="7E55D816" w14:textId="26EE9CE3" w:rsidR="009264F7" w:rsidRPr="00A86E7A" w:rsidRDefault="009264F7" w:rsidP="00A130EA">
      <w:pPr>
        <w:pStyle w:val="NoSpacing"/>
        <w:numPr>
          <w:ilvl w:val="0"/>
          <w:numId w:val="1"/>
        </w:numPr>
        <w:tabs>
          <w:tab w:val="left" w:pos="900"/>
        </w:tabs>
        <w:spacing w:line="480" w:lineRule="auto"/>
        <w:jc w:val="both"/>
        <w:rPr>
          <w:rFonts w:ascii="Times New Roman" w:hAnsi="Times New Roman" w:cs="Times New Roman"/>
          <w:sz w:val="26"/>
          <w:szCs w:val="26"/>
        </w:rPr>
      </w:pPr>
      <w:r w:rsidRPr="00A86E7A">
        <w:rPr>
          <w:rFonts w:ascii="Times New Roman" w:hAnsi="Times New Roman" w:cs="Times New Roman"/>
          <w:sz w:val="26"/>
          <w:szCs w:val="26"/>
        </w:rPr>
        <w:t>The defendant had sexual intercourse with (</w:t>
      </w:r>
      <w:r w:rsidRPr="00A86E7A">
        <w:rPr>
          <w:rFonts w:ascii="Times New Roman" w:hAnsi="Times New Roman" w:cs="Times New Roman"/>
          <w:sz w:val="26"/>
          <w:szCs w:val="26"/>
          <w:u w:val="single"/>
        </w:rPr>
        <w:t>name of victim</w:t>
      </w:r>
      <w:r w:rsidRPr="00A86E7A">
        <w:rPr>
          <w:rFonts w:ascii="Times New Roman" w:hAnsi="Times New Roman" w:cs="Times New Roman"/>
          <w:sz w:val="26"/>
          <w:szCs w:val="26"/>
        </w:rPr>
        <w:t>).</w:t>
      </w:r>
    </w:p>
    <w:p w14:paraId="54A9805C" w14:textId="56FB01A8" w:rsidR="00A130EA" w:rsidRPr="00A86E7A" w:rsidRDefault="00A130EA" w:rsidP="00A130EA">
      <w:pPr>
        <w:pStyle w:val="NoSpacing"/>
        <w:tabs>
          <w:tab w:val="left" w:pos="900"/>
        </w:tabs>
        <w:spacing w:line="480" w:lineRule="auto"/>
        <w:ind w:left="900"/>
        <w:jc w:val="both"/>
        <w:rPr>
          <w:rFonts w:ascii="Times New Roman" w:hAnsi="Times New Roman" w:cs="Times New Roman"/>
          <w:sz w:val="26"/>
          <w:szCs w:val="26"/>
          <w:vertAlign w:val="superscript"/>
        </w:rPr>
      </w:pPr>
      <w:r w:rsidRPr="00A86E7A">
        <w:rPr>
          <w:rFonts w:ascii="Times New Roman" w:hAnsi="Times New Roman" w:cs="Times New Roman"/>
          <w:sz w:val="26"/>
          <w:szCs w:val="26"/>
        </w:rPr>
        <w:t>“Sexual intercourse” is defined as (</w:t>
      </w:r>
      <w:r w:rsidRPr="00A86E7A">
        <w:rPr>
          <w:rFonts w:ascii="Times New Roman" w:hAnsi="Times New Roman" w:cs="Times New Roman"/>
          <w:sz w:val="26"/>
          <w:szCs w:val="26"/>
          <w:u w:val="single"/>
        </w:rPr>
        <w:t>insert the applicable definition set forth in Wis JI–Criminal 1200B</w:t>
      </w:r>
      <w:r w:rsidRPr="00A86E7A">
        <w:rPr>
          <w:rFonts w:ascii="Times New Roman" w:hAnsi="Times New Roman" w:cs="Times New Roman"/>
          <w:sz w:val="26"/>
          <w:szCs w:val="26"/>
        </w:rPr>
        <w:t>).</w:t>
      </w:r>
      <w:r w:rsidRPr="00A86E7A">
        <w:rPr>
          <w:rStyle w:val="EndnoteReference"/>
          <w:rFonts w:ascii="Times New Roman" w:hAnsi="Times New Roman" w:cs="Times New Roman"/>
          <w:sz w:val="26"/>
          <w:szCs w:val="26"/>
        </w:rPr>
        <w:endnoteReference w:id="1"/>
      </w:r>
    </w:p>
    <w:p w14:paraId="3E4FB31C" w14:textId="4CA6786D" w:rsidR="009264F7" w:rsidRPr="00A86E7A" w:rsidRDefault="009264F7" w:rsidP="009264F7">
      <w:pPr>
        <w:pStyle w:val="NoSpacing"/>
        <w:tabs>
          <w:tab w:val="left" w:pos="900"/>
        </w:tabs>
        <w:spacing w:line="480" w:lineRule="auto"/>
        <w:ind w:left="900" w:hanging="450"/>
        <w:jc w:val="both"/>
        <w:rPr>
          <w:rFonts w:ascii="Times New Roman" w:hAnsi="Times New Roman" w:cs="Times New Roman"/>
          <w:sz w:val="26"/>
          <w:szCs w:val="26"/>
        </w:rPr>
      </w:pPr>
      <w:r w:rsidRPr="00A86E7A">
        <w:rPr>
          <w:rFonts w:ascii="Times New Roman" w:hAnsi="Times New Roman" w:cs="Times New Roman"/>
          <w:sz w:val="26"/>
          <w:szCs w:val="26"/>
        </w:rPr>
        <w:t>2.</w:t>
      </w:r>
      <w:r w:rsidRPr="00A86E7A">
        <w:rPr>
          <w:rFonts w:ascii="Times New Roman" w:hAnsi="Times New Roman" w:cs="Times New Roman"/>
          <w:sz w:val="26"/>
          <w:szCs w:val="26"/>
        </w:rPr>
        <w:tab/>
        <w:t>(</w:t>
      </w:r>
      <w:r w:rsidRPr="00A86E7A">
        <w:rPr>
          <w:rFonts w:ascii="Times New Roman" w:hAnsi="Times New Roman" w:cs="Times New Roman"/>
          <w:sz w:val="26"/>
          <w:szCs w:val="26"/>
          <w:u w:val="single"/>
        </w:rPr>
        <w:t>Name of victim</w:t>
      </w:r>
      <w:r w:rsidRPr="00A86E7A">
        <w:rPr>
          <w:rFonts w:ascii="Times New Roman" w:hAnsi="Times New Roman" w:cs="Times New Roman"/>
          <w:sz w:val="26"/>
          <w:szCs w:val="26"/>
        </w:rPr>
        <w:t>) did not consent to the sexual intercourse.</w:t>
      </w:r>
    </w:p>
    <w:p w14:paraId="6A881C3C" w14:textId="1E7BF279" w:rsidR="009264F7" w:rsidRPr="00A86E7A" w:rsidRDefault="009264F7" w:rsidP="009264F7">
      <w:pPr>
        <w:pStyle w:val="NoSpacing"/>
        <w:spacing w:line="480" w:lineRule="auto"/>
        <w:jc w:val="center"/>
        <w:rPr>
          <w:rFonts w:ascii="Times New Roman" w:hAnsi="Times New Roman" w:cs="Times New Roman"/>
          <w:b/>
          <w:bCs/>
          <w:sz w:val="26"/>
          <w:szCs w:val="26"/>
        </w:rPr>
      </w:pPr>
      <w:r w:rsidRPr="00A86E7A">
        <w:rPr>
          <w:rFonts w:ascii="Times New Roman" w:hAnsi="Times New Roman" w:cs="Times New Roman"/>
          <w:b/>
          <w:bCs/>
          <w:sz w:val="26"/>
          <w:szCs w:val="26"/>
        </w:rPr>
        <w:t>Meaning of “Did Not Consent”</w:t>
      </w:r>
      <w:r w:rsidR="00A130EA" w:rsidRPr="00A86E7A">
        <w:rPr>
          <w:rStyle w:val="EndnoteReference"/>
          <w:rFonts w:ascii="Times New Roman" w:hAnsi="Times New Roman" w:cs="Times New Roman"/>
          <w:b/>
          <w:bCs/>
          <w:sz w:val="26"/>
          <w:szCs w:val="26"/>
        </w:rPr>
        <w:endnoteReference w:id="2"/>
      </w:r>
    </w:p>
    <w:p w14:paraId="02B01998" w14:textId="65CD2E1F" w:rsidR="009264F7" w:rsidRPr="009264F7" w:rsidRDefault="009264F7" w:rsidP="009264F7">
      <w:pPr>
        <w:pStyle w:val="NoSpacing"/>
        <w:spacing w:line="480" w:lineRule="auto"/>
        <w:ind w:firstLine="450"/>
        <w:jc w:val="both"/>
        <w:rPr>
          <w:rFonts w:ascii="Times New Roman" w:hAnsi="Times New Roman" w:cs="Times New Roman"/>
          <w:sz w:val="26"/>
          <w:szCs w:val="26"/>
        </w:rPr>
      </w:pPr>
      <w:r>
        <w:rPr>
          <w:rFonts w:ascii="Times New Roman" w:hAnsi="Times New Roman" w:cs="Times New Roman"/>
          <w:sz w:val="26"/>
          <w:szCs w:val="26"/>
        </w:rPr>
        <w:t>“</w:t>
      </w:r>
      <w:r w:rsidRPr="009264F7">
        <w:rPr>
          <w:rFonts w:ascii="Times New Roman" w:hAnsi="Times New Roman" w:cs="Times New Roman"/>
          <w:sz w:val="26"/>
          <w:szCs w:val="26"/>
        </w:rPr>
        <w:t>Did not consent</w:t>
      </w:r>
      <w:r>
        <w:rPr>
          <w:rFonts w:ascii="Times New Roman" w:hAnsi="Times New Roman" w:cs="Times New Roman"/>
          <w:sz w:val="26"/>
          <w:szCs w:val="26"/>
        </w:rPr>
        <w:t>”</w:t>
      </w:r>
      <w:r w:rsidRPr="009264F7">
        <w:rPr>
          <w:rFonts w:ascii="Times New Roman" w:hAnsi="Times New Roman" w:cs="Times New Roman"/>
          <w:sz w:val="26"/>
          <w:szCs w:val="26"/>
        </w:rPr>
        <w:t xml:space="preserve"> means that (</w:t>
      </w:r>
      <w:r w:rsidRPr="009264F7">
        <w:rPr>
          <w:rFonts w:ascii="Times New Roman" w:hAnsi="Times New Roman" w:cs="Times New Roman"/>
          <w:sz w:val="26"/>
          <w:szCs w:val="26"/>
          <w:u w:val="single"/>
        </w:rPr>
        <w:t>name of victim</w:t>
      </w:r>
      <w:r w:rsidRPr="009264F7">
        <w:rPr>
          <w:rFonts w:ascii="Times New Roman" w:hAnsi="Times New Roman" w:cs="Times New Roman"/>
          <w:sz w:val="26"/>
          <w:szCs w:val="26"/>
        </w:rPr>
        <w:t>) did not freely agree to have sexual intercourse with the defendant. In deciding whether (</w:t>
      </w:r>
      <w:r w:rsidRPr="009264F7">
        <w:rPr>
          <w:rFonts w:ascii="Times New Roman" w:hAnsi="Times New Roman" w:cs="Times New Roman"/>
          <w:sz w:val="26"/>
          <w:szCs w:val="26"/>
          <w:u w:val="single"/>
        </w:rPr>
        <w:t>name of victim</w:t>
      </w:r>
      <w:r w:rsidRPr="009264F7">
        <w:rPr>
          <w:rFonts w:ascii="Times New Roman" w:hAnsi="Times New Roman" w:cs="Times New Roman"/>
          <w:sz w:val="26"/>
          <w:szCs w:val="26"/>
        </w:rPr>
        <w:t xml:space="preserve">) did not consent, you should consider what </w:t>
      </w:r>
      <w:r>
        <w:rPr>
          <w:rFonts w:ascii="Times New Roman" w:hAnsi="Times New Roman" w:cs="Times New Roman"/>
          <w:sz w:val="26"/>
          <w:szCs w:val="26"/>
        </w:rPr>
        <w:t>(</w:t>
      </w:r>
      <w:r w:rsidRPr="009264F7">
        <w:rPr>
          <w:rFonts w:ascii="Times New Roman" w:hAnsi="Times New Roman" w:cs="Times New Roman"/>
          <w:sz w:val="26"/>
          <w:szCs w:val="26"/>
        </w:rPr>
        <w:t>he</w:t>
      </w:r>
      <w:r>
        <w:rPr>
          <w:rFonts w:ascii="Times New Roman" w:hAnsi="Times New Roman" w:cs="Times New Roman"/>
          <w:sz w:val="26"/>
          <w:szCs w:val="26"/>
        </w:rPr>
        <w:t>) (</w:t>
      </w:r>
      <w:r w:rsidRPr="009264F7">
        <w:rPr>
          <w:rFonts w:ascii="Times New Roman" w:hAnsi="Times New Roman" w:cs="Times New Roman"/>
          <w:sz w:val="26"/>
          <w:szCs w:val="26"/>
        </w:rPr>
        <w:t>she</w:t>
      </w:r>
      <w:r>
        <w:rPr>
          <w:rFonts w:ascii="Times New Roman" w:hAnsi="Times New Roman" w:cs="Times New Roman"/>
          <w:sz w:val="26"/>
          <w:szCs w:val="26"/>
        </w:rPr>
        <w:t>)</w:t>
      </w:r>
      <w:r w:rsidRPr="009264F7">
        <w:rPr>
          <w:rFonts w:ascii="Times New Roman" w:hAnsi="Times New Roman" w:cs="Times New Roman"/>
          <w:sz w:val="26"/>
          <w:szCs w:val="26"/>
        </w:rPr>
        <w:t xml:space="preserve"> said and did, along with all the other facts and </w:t>
      </w:r>
      <w:r w:rsidRPr="009264F7">
        <w:rPr>
          <w:rFonts w:ascii="Times New Roman" w:hAnsi="Times New Roman" w:cs="Times New Roman"/>
          <w:sz w:val="26"/>
          <w:szCs w:val="26"/>
        </w:rPr>
        <w:lastRenderedPageBreak/>
        <w:t>circumstances.</w:t>
      </w:r>
      <w:r>
        <w:rPr>
          <w:rFonts w:ascii="Times New Roman" w:hAnsi="Times New Roman" w:cs="Times New Roman"/>
          <w:sz w:val="26"/>
          <w:szCs w:val="26"/>
        </w:rPr>
        <w:t xml:space="preserve"> </w:t>
      </w:r>
      <w:r w:rsidRPr="009264F7">
        <w:rPr>
          <w:rFonts w:ascii="Times New Roman" w:hAnsi="Times New Roman" w:cs="Times New Roman"/>
          <w:sz w:val="26"/>
          <w:szCs w:val="26"/>
        </w:rPr>
        <w:t>This element does not require that (</w:t>
      </w:r>
      <w:r w:rsidRPr="009264F7">
        <w:rPr>
          <w:rFonts w:ascii="Times New Roman" w:hAnsi="Times New Roman" w:cs="Times New Roman"/>
          <w:sz w:val="26"/>
          <w:szCs w:val="26"/>
          <w:u w:val="single"/>
        </w:rPr>
        <w:t>name of victim</w:t>
      </w:r>
      <w:r w:rsidRPr="009264F7">
        <w:rPr>
          <w:rFonts w:ascii="Times New Roman" w:hAnsi="Times New Roman" w:cs="Times New Roman"/>
          <w:sz w:val="26"/>
          <w:szCs w:val="26"/>
        </w:rPr>
        <w:t>) offered physical resistance.</w:t>
      </w:r>
      <w:r w:rsidR="009202CC">
        <w:rPr>
          <w:rStyle w:val="EndnoteReference"/>
          <w:rFonts w:ascii="Times New Roman" w:hAnsi="Times New Roman" w:cs="Times New Roman"/>
          <w:sz w:val="26"/>
          <w:szCs w:val="26"/>
        </w:rPr>
        <w:endnoteReference w:id="3"/>
      </w:r>
      <w:r w:rsidRPr="009264F7">
        <w:rPr>
          <w:rFonts w:ascii="Times New Roman" w:hAnsi="Times New Roman" w:cs="Times New Roman"/>
          <w:sz w:val="26"/>
          <w:szCs w:val="26"/>
        </w:rPr>
        <w:t xml:space="preserve"> </w:t>
      </w:r>
    </w:p>
    <w:p w14:paraId="38D28FFF" w14:textId="6D1EB0A0" w:rsidR="009264F7" w:rsidRPr="009264F7" w:rsidRDefault="009264F7" w:rsidP="009264F7">
      <w:pPr>
        <w:pStyle w:val="NoSpacing"/>
        <w:spacing w:line="480" w:lineRule="auto"/>
        <w:jc w:val="center"/>
        <w:rPr>
          <w:rFonts w:ascii="Times New Roman" w:hAnsi="Times New Roman" w:cs="Times New Roman"/>
          <w:b/>
          <w:bCs/>
          <w:sz w:val="26"/>
          <w:szCs w:val="26"/>
        </w:rPr>
      </w:pPr>
      <w:r w:rsidRPr="009264F7">
        <w:rPr>
          <w:rFonts w:ascii="Times New Roman" w:hAnsi="Times New Roman" w:cs="Times New Roman"/>
          <w:b/>
          <w:bCs/>
          <w:sz w:val="26"/>
          <w:szCs w:val="26"/>
        </w:rPr>
        <w:t>Jury’s Decision</w:t>
      </w:r>
    </w:p>
    <w:p w14:paraId="00EAF0D3" w14:textId="254D88C1" w:rsidR="009264F7" w:rsidRPr="009264F7" w:rsidRDefault="009264F7" w:rsidP="009264F7">
      <w:pPr>
        <w:pStyle w:val="NoSpacing"/>
        <w:spacing w:line="480" w:lineRule="auto"/>
        <w:ind w:firstLine="450"/>
        <w:jc w:val="both"/>
        <w:rPr>
          <w:rFonts w:ascii="Times New Roman" w:hAnsi="Times New Roman" w:cs="Times New Roman"/>
          <w:sz w:val="26"/>
          <w:szCs w:val="26"/>
        </w:rPr>
      </w:pPr>
      <w:r w:rsidRPr="009264F7">
        <w:rPr>
          <w:rFonts w:ascii="Times New Roman" w:hAnsi="Times New Roman" w:cs="Times New Roman"/>
          <w:sz w:val="26"/>
          <w:szCs w:val="26"/>
        </w:rPr>
        <w:t>If you are satisfied beyond a reasonable doubt that both elements of third-degree sexual assault have been proved, you should find the defendant guilty.</w:t>
      </w:r>
    </w:p>
    <w:p w14:paraId="50258832" w14:textId="77777777" w:rsidR="009264F7" w:rsidRPr="009264F7" w:rsidRDefault="009264F7" w:rsidP="009264F7">
      <w:pPr>
        <w:pStyle w:val="NoSpacing"/>
        <w:spacing w:line="480" w:lineRule="auto"/>
        <w:ind w:firstLine="450"/>
        <w:jc w:val="both"/>
        <w:rPr>
          <w:rFonts w:ascii="Times New Roman" w:hAnsi="Times New Roman" w:cs="Times New Roman"/>
          <w:sz w:val="26"/>
          <w:szCs w:val="26"/>
        </w:rPr>
      </w:pPr>
      <w:r w:rsidRPr="009264F7">
        <w:rPr>
          <w:rFonts w:ascii="Times New Roman" w:hAnsi="Times New Roman" w:cs="Times New Roman"/>
          <w:sz w:val="26"/>
          <w:szCs w:val="26"/>
        </w:rPr>
        <w:t>If you are not so satisfied, you must find the defendant not guilty.</w:t>
      </w:r>
    </w:p>
    <w:p w14:paraId="4AE6D330" w14:textId="1CEFFE38" w:rsidR="009264F7" w:rsidRDefault="009264F7" w:rsidP="009264F7">
      <w:pPr>
        <w:pStyle w:val="NoSpacing"/>
        <w:jc w:val="both"/>
        <w:rPr>
          <w:rFonts w:ascii="Times New Roman" w:hAnsi="Times New Roman" w:cs="Times New Roman"/>
          <w:sz w:val="26"/>
          <w:szCs w:val="26"/>
        </w:rPr>
      </w:pPr>
    </w:p>
    <w:p w14:paraId="3DF86144" w14:textId="6201A553" w:rsidR="009264F7" w:rsidRDefault="009264F7" w:rsidP="009264F7">
      <w:pPr>
        <w:pStyle w:val="NoSpacing"/>
        <w:jc w:val="both"/>
        <w:rPr>
          <w:rFonts w:ascii="Times New Roman" w:hAnsi="Times New Roman" w:cs="Times New Roman"/>
          <w:sz w:val="26"/>
          <w:szCs w:val="26"/>
        </w:rPr>
      </w:pPr>
    </w:p>
    <w:p w14:paraId="74304CF9" w14:textId="332C461A" w:rsidR="009264F7" w:rsidRDefault="009264F7" w:rsidP="009264F7">
      <w:pPr>
        <w:pStyle w:val="NoSpacing"/>
        <w:jc w:val="both"/>
        <w:rPr>
          <w:rFonts w:ascii="Times New Roman" w:hAnsi="Times New Roman" w:cs="Times New Roman"/>
          <w:sz w:val="26"/>
          <w:szCs w:val="26"/>
        </w:rPr>
      </w:pPr>
    </w:p>
    <w:p w14:paraId="448A3441" w14:textId="77777777" w:rsidR="009264F7" w:rsidRPr="009264F7" w:rsidRDefault="009264F7" w:rsidP="009264F7">
      <w:pPr>
        <w:pStyle w:val="NoSpacing"/>
        <w:jc w:val="both"/>
        <w:rPr>
          <w:rFonts w:ascii="Times New Roman" w:hAnsi="Times New Roman" w:cs="Times New Roman"/>
          <w:sz w:val="26"/>
          <w:szCs w:val="26"/>
        </w:rPr>
      </w:pPr>
    </w:p>
    <w:p w14:paraId="1440A265" w14:textId="77777777" w:rsidR="009264F7" w:rsidRPr="009264F7" w:rsidRDefault="009264F7" w:rsidP="009264F7">
      <w:pPr>
        <w:pStyle w:val="NoSpacing"/>
        <w:jc w:val="both"/>
        <w:rPr>
          <w:rFonts w:ascii="Times New Roman" w:hAnsi="Times New Roman" w:cs="Times New Roman"/>
          <w:b/>
          <w:bCs/>
        </w:rPr>
      </w:pPr>
      <w:r w:rsidRPr="009264F7">
        <w:rPr>
          <w:rFonts w:ascii="Times New Roman" w:hAnsi="Times New Roman" w:cs="Times New Roman"/>
          <w:b/>
          <w:bCs/>
        </w:rPr>
        <w:t>COMMENT</w:t>
      </w:r>
    </w:p>
    <w:p w14:paraId="0EA2BAE3" w14:textId="77777777" w:rsidR="009264F7" w:rsidRPr="009264F7" w:rsidRDefault="009264F7" w:rsidP="009264F7">
      <w:pPr>
        <w:pStyle w:val="NoSpacing"/>
        <w:jc w:val="both"/>
        <w:rPr>
          <w:rFonts w:ascii="Times New Roman" w:hAnsi="Times New Roman" w:cs="Times New Roman"/>
        </w:rPr>
      </w:pPr>
    </w:p>
    <w:p w14:paraId="6881ACF6" w14:textId="37DB1B8B" w:rsidR="009F1534" w:rsidRPr="00A86E7A" w:rsidRDefault="009264F7" w:rsidP="009F1534">
      <w:pPr>
        <w:pStyle w:val="NoSpacing"/>
        <w:ind w:firstLine="450"/>
        <w:jc w:val="both"/>
        <w:rPr>
          <w:rFonts w:ascii="Times New Roman" w:hAnsi="Times New Roman" w:cs="Times New Roman"/>
        </w:rPr>
      </w:pPr>
      <w:r w:rsidRPr="00A86E7A">
        <w:rPr>
          <w:rFonts w:ascii="Times New Roman" w:hAnsi="Times New Roman" w:cs="Times New Roman"/>
        </w:rPr>
        <w:t>This instruction was originally published in 1980 as Wis JI–Criminal 1218 and revised in 1983</w:t>
      </w:r>
      <w:r w:rsidR="00416493">
        <w:rPr>
          <w:rFonts w:ascii="Times New Roman" w:hAnsi="Times New Roman" w:cs="Times New Roman"/>
        </w:rPr>
        <w:t>,</w:t>
      </w:r>
      <w:r w:rsidRPr="00A86E7A">
        <w:rPr>
          <w:rFonts w:ascii="Times New Roman" w:hAnsi="Times New Roman" w:cs="Times New Roman"/>
        </w:rPr>
        <w:t xml:space="preserve"> 1990</w:t>
      </w:r>
      <w:r w:rsidR="009F1534" w:rsidRPr="00A86E7A">
        <w:rPr>
          <w:rFonts w:ascii="Times New Roman" w:hAnsi="Times New Roman" w:cs="Times New Roman"/>
        </w:rPr>
        <w:t>, 2001, and 2018</w:t>
      </w:r>
      <w:r w:rsidRPr="00A86E7A">
        <w:rPr>
          <w:rFonts w:ascii="Times New Roman" w:hAnsi="Times New Roman" w:cs="Times New Roman"/>
        </w:rPr>
        <w:t xml:space="preserve">. A revision renumbering it as Wis JI–Criminal 1218A was published in 1996. </w:t>
      </w:r>
      <w:r w:rsidR="009F1534" w:rsidRPr="00A86E7A">
        <w:rPr>
          <w:rFonts w:ascii="Times New Roman" w:hAnsi="Times New Roman" w:cs="Times New Roman"/>
        </w:rPr>
        <w:t xml:space="preserve">This revision was approved by the Committee in April 2026. It clarified all essential elements consistent with the Wisconsin Court of Appeals’ recommendation in </w:t>
      </w:r>
      <w:r w:rsidR="009F1534" w:rsidRPr="00A86E7A">
        <w:rPr>
          <w:rFonts w:ascii="Times New Roman" w:hAnsi="Times New Roman" w:cs="Times New Roman"/>
          <w:u w:val="single"/>
        </w:rPr>
        <w:t>State v. Goth</w:t>
      </w:r>
      <w:r w:rsidR="009F1534" w:rsidRPr="00A86E7A">
        <w:rPr>
          <w:rFonts w:ascii="Times New Roman" w:hAnsi="Times New Roman" w:cs="Times New Roman"/>
        </w:rPr>
        <w:t>, 2024 WI App 74, 15 N.W.3d 518 (unpublished).</w:t>
      </w:r>
    </w:p>
    <w:p w14:paraId="500AC400" w14:textId="77777777" w:rsidR="009264F7" w:rsidRPr="009264F7" w:rsidRDefault="009264F7" w:rsidP="009264F7">
      <w:pPr>
        <w:pStyle w:val="NoSpacing"/>
        <w:jc w:val="both"/>
        <w:rPr>
          <w:rFonts w:ascii="Times New Roman" w:hAnsi="Times New Roman" w:cs="Times New Roman"/>
        </w:rPr>
      </w:pPr>
    </w:p>
    <w:p w14:paraId="480E116F" w14:textId="2EB60612" w:rsidR="009264F7" w:rsidRPr="009264F7" w:rsidRDefault="009264F7" w:rsidP="009264F7">
      <w:pPr>
        <w:pStyle w:val="NoSpacing"/>
        <w:ind w:firstLine="450"/>
        <w:jc w:val="both"/>
        <w:rPr>
          <w:rFonts w:ascii="Times New Roman" w:hAnsi="Times New Roman" w:cs="Times New Roman"/>
        </w:rPr>
      </w:pPr>
      <w:r w:rsidRPr="009264F7">
        <w:rPr>
          <w:rFonts w:ascii="Times New Roman" w:hAnsi="Times New Roman" w:cs="Times New Roman"/>
        </w:rPr>
        <w:t>This instruction is for violations of § 940.225(3)(a): sexual intercourse without consent, as amended by 2017 Wisconsin Act 174. Act 174 amended former sub.</w:t>
      </w:r>
      <w:r w:rsidR="00A86E7A">
        <w:rPr>
          <w:rFonts w:ascii="Times New Roman" w:hAnsi="Times New Roman" w:cs="Times New Roman"/>
        </w:rPr>
        <w:t xml:space="preserve"> </w:t>
      </w:r>
      <w:r w:rsidRPr="009264F7">
        <w:rPr>
          <w:rFonts w:ascii="Times New Roman" w:hAnsi="Times New Roman" w:cs="Times New Roman"/>
        </w:rPr>
        <w:t xml:space="preserve">(3) by splitting it into </w:t>
      </w:r>
      <w:proofErr w:type="spellStart"/>
      <w:r w:rsidRPr="009264F7">
        <w:rPr>
          <w:rFonts w:ascii="Times New Roman" w:hAnsi="Times New Roman" w:cs="Times New Roman"/>
        </w:rPr>
        <w:t>subdivs</w:t>
      </w:r>
      <w:proofErr w:type="spellEnd"/>
      <w:r w:rsidRPr="009264F7">
        <w:rPr>
          <w:rFonts w:ascii="Times New Roman" w:hAnsi="Times New Roman" w:cs="Times New Roman"/>
        </w:rPr>
        <w:t>. (a) and (b). The text and the penalty were not changed.</w:t>
      </w:r>
    </w:p>
    <w:p w14:paraId="5EBFBC91" w14:textId="77777777" w:rsidR="009264F7" w:rsidRPr="009264F7" w:rsidRDefault="009264F7" w:rsidP="009264F7">
      <w:pPr>
        <w:pStyle w:val="NoSpacing"/>
        <w:jc w:val="both"/>
        <w:rPr>
          <w:rFonts w:ascii="Times New Roman" w:hAnsi="Times New Roman" w:cs="Times New Roman"/>
        </w:rPr>
      </w:pPr>
    </w:p>
    <w:p w14:paraId="41EC2443" w14:textId="44C7230C" w:rsidR="009F41A6" w:rsidRDefault="009264F7" w:rsidP="009264F7">
      <w:pPr>
        <w:pStyle w:val="NoSpacing"/>
        <w:ind w:firstLine="450"/>
        <w:jc w:val="both"/>
        <w:rPr>
          <w:rFonts w:ascii="Times New Roman" w:hAnsi="Times New Roman" w:cs="Times New Roman"/>
        </w:rPr>
      </w:pPr>
      <w:r w:rsidRPr="009264F7">
        <w:rPr>
          <w:rFonts w:ascii="Times New Roman" w:hAnsi="Times New Roman" w:cs="Times New Roman"/>
        </w:rPr>
        <w:t>See Wis JI</w:t>
      </w:r>
      <w:r w:rsidR="00416493" w:rsidRPr="00416493">
        <w:rPr>
          <w:rFonts w:ascii="Times New Roman" w:hAnsi="Times New Roman" w:cs="Times New Roman"/>
        </w:rPr>
        <w:t>–</w:t>
      </w:r>
      <w:r w:rsidRPr="009264F7">
        <w:rPr>
          <w:rFonts w:ascii="Times New Roman" w:hAnsi="Times New Roman" w:cs="Times New Roman"/>
        </w:rPr>
        <w:t>Criminal 1218B for violations under sub. (3)(b): sexual contact [as defined in § 940.225(5)(b)2. and 3.] without consent.</w:t>
      </w:r>
    </w:p>
    <w:p w14:paraId="2EC54CBB" w14:textId="77777777" w:rsidR="00A86E7A" w:rsidRPr="009264F7" w:rsidRDefault="00A86E7A" w:rsidP="009264F7">
      <w:pPr>
        <w:pStyle w:val="NoSpacing"/>
        <w:ind w:firstLine="450"/>
        <w:jc w:val="both"/>
        <w:rPr>
          <w:rFonts w:ascii="Times New Roman" w:hAnsi="Times New Roman" w:cs="Times New Roman"/>
        </w:rPr>
      </w:pPr>
    </w:p>
    <w:sectPr w:rsidR="00A86E7A" w:rsidRPr="009264F7" w:rsidSect="00A86E7A">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46581" w14:textId="77777777" w:rsidR="009264F7" w:rsidRDefault="009264F7" w:rsidP="009264F7">
      <w:pPr>
        <w:spacing w:after="0" w:line="240" w:lineRule="auto"/>
      </w:pPr>
      <w:r>
        <w:separator/>
      </w:r>
    </w:p>
  </w:endnote>
  <w:endnote w:type="continuationSeparator" w:id="0">
    <w:p w14:paraId="3396DF5A" w14:textId="77777777" w:rsidR="009264F7" w:rsidRDefault="009264F7" w:rsidP="009264F7">
      <w:pPr>
        <w:spacing w:after="0" w:line="240" w:lineRule="auto"/>
      </w:pPr>
      <w:r>
        <w:continuationSeparator/>
      </w:r>
    </w:p>
  </w:endnote>
  <w:endnote w:id="1">
    <w:p w14:paraId="767B7D7E" w14:textId="18CD7A7D" w:rsidR="00A130EA" w:rsidRPr="00A86E7A" w:rsidRDefault="00A130EA" w:rsidP="00A130EA">
      <w:pPr>
        <w:pStyle w:val="EndnoteText"/>
        <w:tabs>
          <w:tab w:val="left" w:pos="900"/>
        </w:tabs>
        <w:ind w:firstLine="450"/>
        <w:jc w:val="both"/>
        <w:rPr>
          <w:rFonts w:ascii="Times New Roman" w:hAnsi="Times New Roman" w:cs="Times New Roman"/>
          <w:sz w:val="22"/>
          <w:szCs w:val="22"/>
        </w:rPr>
      </w:pPr>
      <w:r w:rsidRPr="00A86E7A">
        <w:rPr>
          <w:rFonts w:ascii="Times New Roman" w:hAnsi="Times New Roman" w:cs="Times New Roman"/>
          <w:sz w:val="22"/>
          <w:szCs w:val="22"/>
        </w:rPr>
        <w:endnoteRef/>
      </w:r>
      <w:r w:rsidRPr="00A86E7A">
        <w:rPr>
          <w:rFonts w:ascii="Times New Roman" w:hAnsi="Times New Roman" w:cs="Times New Roman"/>
          <w:sz w:val="22"/>
          <w:szCs w:val="22"/>
        </w:rPr>
        <w:t>.</w:t>
      </w:r>
      <w:r w:rsidRPr="00A86E7A">
        <w:rPr>
          <w:rFonts w:ascii="Times New Roman" w:hAnsi="Times New Roman" w:cs="Times New Roman"/>
          <w:sz w:val="22"/>
          <w:szCs w:val="22"/>
        </w:rPr>
        <w:tab/>
        <w:t>The appropriate definition of “sexual intercourse” should be selected from the alternatives provided in Wis JI–Criminal 1200B, based on the specific facts of the case.</w:t>
      </w:r>
    </w:p>
    <w:p w14:paraId="1DE0DDD0" w14:textId="77777777" w:rsidR="00A130EA" w:rsidRPr="009F1534" w:rsidRDefault="00A130EA" w:rsidP="00A130EA">
      <w:pPr>
        <w:pStyle w:val="EndnoteText"/>
        <w:tabs>
          <w:tab w:val="left" w:pos="900"/>
        </w:tabs>
        <w:ind w:firstLine="450"/>
        <w:jc w:val="both"/>
        <w:rPr>
          <w:rFonts w:ascii="Times New Roman" w:hAnsi="Times New Roman" w:cs="Times New Roman"/>
          <w:sz w:val="22"/>
          <w:szCs w:val="22"/>
        </w:rPr>
      </w:pPr>
    </w:p>
  </w:endnote>
  <w:endnote w:id="2">
    <w:p w14:paraId="2E51EBA6" w14:textId="375252BD" w:rsidR="00A130EA" w:rsidRPr="00A130EA" w:rsidRDefault="00A130EA" w:rsidP="00A130EA">
      <w:pPr>
        <w:pStyle w:val="NoSpacing"/>
        <w:ind w:firstLine="450"/>
        <w:jc w:val="both"/>
        <w:rPr>
          <w:rFonts w:ascii="Times New Roman" w:hAnsi="Times New Roman" w:cs="Times New Roman"/>
        </w:rPr>
      </w:pPr>
      <w:r w:rsidRPr="009F1534">
        <w:rPr>
          <w:rFonts w:ascii="Times New Roman" w:hAnsi="Times New Roman" w:cs="Times New Roman"/>
        </w:rPr>
        <w:endnoteRef/>
      </w:r>
      <w:r w:rsidRPr="009F1534">
        <w:rPr>
          <w:rFonts w:ascii="Times New Roman" w:hAnsi="Times New Roman" w:cs="Times New Roman"/>
        </w:rPr>
        <w:t>.</w:t>
      </w:r>
      <w:r w:rsidRPr="009F1534">
        <w:rPr>
          <w:rFonts w:ascii="Times New Roman" w:hAnsi="Times New Roman" w:cs="Times New Roman"/>
        </w:rPr>
        <w:tab/>
        <w:t xml:space="preserve">The definition of “consent,” found in Wis. Stat. § 940.225(4), applies to prosecutions under § 940.225. The definition of “without consent,” found in § 939.22(48), is applicable to other Criminal Code </w:t>
      </w:r>
      <w:r w:rsidR="00416493">
        <w:rPr>
          <w:rFonts w:ascii="Times New Roman" w:hAnsi="Times New Roman" w:cs="Times New Roman"/>
        </w:rPr>
        <w:t>o</w:t>
      </w:r>
      <w:r w:rsidRPr="009F1534">
        <w:rPr>
          <w:rFonts w:ascii="Times New Roman" w:hAnsi="Times New Roman" w:cs="Times New Roman"/>
        </w:rPr>
        <w:t>ffenses but does not</w:t>
      </w:r>
      <w:r w:rsidRPr="00A130EA">
        <w:rPr>
          <w:rFonts w:ascii="Times New Roman" w:hAnsi="Times New Roman" w:cs="Times New Roman"/>
        </w:rPr>
        <w:t xml:space="preserve"> apply to prosecutions under § 940.225. Section 940.225(4) reads as follows:</w:t>
      </w:r>
    </w:p>
    <w:p w14:paraId="17CA1540" w14:textId="77777777" w:rsidR="00A130EA" w:rsidRPr="00A130EA" w:rsidRDefault="00A130EA" w:rsidP="00A130EA">
      <w:pPr>
        <w:pStyle w:val="NoSpacing"/>
        <w:jc w:val="both"/>
        <w:rPr>
          <w:rFonts w:ascii="Times New Roman" w:hAnsi="Times New Roman" w:cs="Times New Roman"/>
        </w:rPr>
      </w:pPr>
    </w:p>
    <w:p w14:paraId="3E9DF8D7" w14:textId="59088766" w:rsidR="00A130EA" w:rsidRPr="00A130EA" w:rsidRDefault="00A130EA" w:rsidP="00A130EA">
      <w:pPr>
        <w:pStyle w:val="NoSpacing"/>
        <w:ind w:left="450" w:right="450"/>
        <w:jc w:val="both"/>
        <w:rPr>
          <w:rFonts w:ascii="Times New Roman" w:hAnsi="Times New Roman" w:cs="Times New Roman"/>
        </w:rPr>
      </w:pPr>
      <w:r>
        <w:rPr>
          <w:rFonts w:ascii="Times New Roman" w:hAnsi="Times New Roman" w:cs="Times New Roman"/>
        </w:rPr>
        <w:t>“</w:t>
      </w:r>
      <w:r w:rsidRPr="00A130EA">
        <w:rPr>
          <w:rFonts w:ascii="Times New Roman" w:hAnsi="Times New Roman" w:cs="Times New Roman"/>
        </w:rPr>
        <w:t>Consent,</w:t>
      </w:r>
      <w:r>
        <w:rPr>
          <w:rFonts w:ascii="Times New Roman" w:hAnsi="Times New Roman" w:cs="Times New Roman"/>
        </w:rPr>
        <w:t>”</w:t>
      </w:r>
      <w:r w:rsidRPr="00A130EA">
        <w:rPr>
          <w:rFonts w:ascii="Times New Roman" w:hAnsi="Times New Roman" w:cs="Times New Roman"/>
        </w:rPr>
        <w:t xml:space="preserve"> as used in this section, means words or overt actions by a person who is competent to give informed consent indicating a freely given agreement to have sexual intercourse or sexual contact. Consent is not an issue in alleged violations of subs. (2)(c), (cm), (d), (g), (h), and (</w:t>
      </w:r>
      <w:proofErr w:type="spellStart"/>
      <w:r w:rsidRPr="00A130EA">
        <w:rPr>
          <w:rFonts w:ascii="Times New Roman" w:hAnsi="Times New Roman" w:cs="Times New Roman"/>
        </w:rPr>
        <w:t>i</w:t>
      </w:r>
      <w:proofErr w:type="spellEnd"/>
      <w:r w:rsidRPr="00A130EA">
        <w:rPr>
          <w:rFonts w:ascii="Times New Roman" w:hAnsi="Times New Roman" w:cs="Times New Roman"/>
        </w:rPr>
        <w:t>). The following persons are presumed incapable of consent but the presumption may be rebutted by competent evidence, subject to the provisions of § 972.11(2):</w:t>
      </w:r>
    </w:p>
    <w:p w14:paraId="4D60199C" w14:textId="77777777" w:rsidR="00A130EA" w:rsidRPr="00A130EA" w:rsidRDefault="00A130EA" w:rsidP="00A130EA">
      <w:pPr>
        <w:pStyle w:val="NoSpacing"/>
        <w:ind w:left="450" w:right="450"/>
        <w:jc w:val="both"/>
        <w:rPr>
          <w:rFonts w:ascii="Times New Roman" w:hAnsi="Times New Roman" w:cs="Times New Roman"/>
        </w:rPr>
      </w:pPr>
    </w:p>
    <w:p w14:paraId="7AC356C7" w14:textId="77777777" w:rsidR="00A130EA" w:rsidRPr="00A130EA" w:rsidRDefault="00A130EA" w:rsidP="00A130EA">
      <w:pPr>
        <w:pStyle w:val="NoSpacing"/>
        <w:ind w:left="450" w:right="450"/>
        <w:jc w:val="both"/>
        <w:rPr>
          <w:rFonts w:ascii="Times New Roman" w:hAnsi="Times New Roman" w:cs="Times New Roman"/>
        </w:rPr>
      </w:pPr>
      <w:r w:rsidRPr="00A130EA">
        <w:rPr>
          <w:rFonts w:ascii="Times New Roman" w:hAnsi="Times New Roman" w:cs="Times New Roman"/>
        </w:rPr>
        <w:t>(b) A person suffering from a mental illness or defect which impairs capacity to appraise personal conduct.</w:t>
      </w:r>
    </w:p>
    <w:p w14:paraId="32E4F9B8" w14:textId="77777777" w:rsidR="00A130EA" w:rsidRPr="00A130EA" w:rsidRDefault="00A130EA" w:rsidP="00A130EA">
      <w:pPr>
        <w:pStyle w:val="NoSpacing"/>
        <w:ind w:left="450" w:right="450"/>
        <w:jc w:val="both"/>
        <w:rPr>
          <w:rFonts w:ascii="Times New Roman" w:hAnsi="Times New Roman" w:cs="Times New Roman"/>
        </w:rPr>
      </w:pPr>
      <w:r w:rsidRPr="00A130EA">
        <w:rPr>
          <w:rFonts w:ascii="Times New Roman" w:hAnsi="Times New Roman" w:cs="Times New Roman"/>
        </w:rPr>
        <w:t>(c) A person who is unconscious or for any other reason is physically unable to communicate unwillingness to an act.</w:t>
      </w:r>
    </w:p>
    <w:p w14:paraId="154CD134" w14:textId="77777777" w:rsidR="00A130EA" w:rsidRPr="00A130EA" w:rsidRDefault="00A130EA" w:rsidP="00A130EA">
      <w:pPr>
        <w:pStyle w:val="NoSpacing"/>
        <w:jc w:val="both"/>
        <w:rPr>
          <w:rFonts w:ascii="Times New Roman" w:hAnsi="Times New Roman" w:cs="Times New Roman"/>
        </w:rPr>
      </w:pPr>
    </w:p>
    <w:p w14:paraId="3F0264B3" w14:textId="2D792D23" w:rsidR="00A130EA" w:rsidRPr="00A130EA" w:rsidRDefault="00A130EA" w:rsidP="00A130EA">
      <w:pPr>
        <w:pStyle w:val="NoSpacing"/>
        <w:ind w:firstLine="450"/>
        <w:jc w:val="both"/>
        <w:rPr>
          <w:rFonts w:ascii="Times New Roman" w:hAnsi="Times New Roman" w:cs="Times New Roman"/>
        </w:rPr>
      </w:pPr>
      <w:r w:rsidRPr="00A130EA">
        <w:rPr>
          <w:rFonts w:ascii="Times New Roman" w:hAnsi="Times New Roman" w:cs="Times New Roman"/>
        </w:rPr>
        <w:t xml:space="preserve">The definition of </w:t>
      </w:r>
      <w:r>
        <w:rPr>
          <w:rFonts w:ascii="Times New Roman" w:hAnsi="Times New Roman" w:cs="Times New Roman"/>
        </w:rPr>
        <w:t>“</w:t>
      </w:r>
      <w:r w:rsidRPr="00A130EA">
        <w:rPr>
          <w:rFonts w:ascii="Times New Roman" w:hAnsi="Times New Roman" w:cs="Times New Roman"/>
        </w:rPr>
        <w:t>without consent</w:t>
      </w:r>
      <w:r>
        <w:rPr>
          <w:rFonts w:ascii="Times New Roman" w:hAnsi="Times New Roman" w:cs="Times New Roman"/>
        </w:rPr>
        <w:t>”</w:t>
      </w:r>
      <w:r w:rsidRPr="00A130EA">
        <w:rPr>
          <w:rFonts w:ascii="Times New Roman" w:hAnsi="Times New Roman" w:cs="Times New Roman"/>
        </w:rPr>
        <w:t xml:space="preserve"> used in the instruction is designed for the usual case where no special circumstances recognized by the statute as affecting consent are present. If the evidence raises an issue about the victim</w:t>
      </w:r>
      <w:r>
        <w:rPr>
          <w:rFonts w:ascii="Times New Roman" w:hAnsi="Times New Roman" w:cs="Times New Roman"/>
        </w:rPr>
        <w:t>’</w:t>
      </w:r>
      <w:r w:rsidRPr="00A130EA">
        <w:rPr>
          <w:rFonts w:ascii="Times New Roman" w:hAnsi="Times New Roman" w:cs="Times New Roman"/>
        </w:rPr>
        <w:t xml:space="preserve">s being </w:t>
      </w:r>
      <w:r>
        <w:rPr>
          <w:rFonts w:ascii="Times New Roman" w:hAnsi="Times New Roman" w:cs="Times New Roman"/>
        </w:rPr>
        <w:t>“</w:t>
      </w:r>
      <w:r w:rsidRPr="00A130EA">
        <w:rPr>
          <w:rFonts w:ascii="Times New Roman" w:hAnsi="Times New Roman" w:cs="Times New Roman"/>
        </w:rPr>
        <w:t>competent to give informed consent,</w:t>
      </w:r>
      <w:r>
        <w:rPr>
          <w:rFonts w:ascii="Times New Roman" w:hAnsi="Times New Roman" w:cs="Times New Roman"/>
        </w:rPr>
        <w:t xml:space="preserve">” </w:t>
      </w:r>
      <w:r w:rsidRPr="00A130EA">
        <w:rPr>
          <w:rFonts w:ascii="Times New Roman" w:hAnsi="Times New Roman" w:cs="Times New Roman"/>
        </w:rPr>
        <w:t>being unconscious, or being mentally ill, see Wis JI</w:t>
      </w:r>
      <w:r>
        <w:rPr>
          <w:rFonts w:ascii="Times New Roman" w:hAnsi="Times New Roman" w:cs="Times New Roman"/>
        </w:rPr>
        <w:t>–</w:t>
      </w:r>
      <w:r w:rsidRPr="00A130EA">
        <w:rPr>
          <w:rFonts w:ascii="Times New Roman" w:hAnsi="Times New Roman" w:cs="Times New Roman"/>
        </w:rPr>
        <w:t>Criminal 1200C, 1200D, and 1200E, which provide alternatives for these special circumstances.</w:t>
      </w:r>
    </w:p>
    <w:p w14:paraId="59DDF254" w14:textId="77777777" w:rsidR="00A130EA" w:rsidRPr="00A130EA" w:rsidRDefault="00A130EA" w:rsidP="00A130EA">
      <w:pPr>
        <w:pStyle w:val="NoSpacing"/>
        <w:jc w:val="both"/>
        <w:rPr>
          <w:rFonts w:ascii="Times New Roman" w:hAnsi="Times New Roman" w:cs="Times New Roman"/>
        </w:rPr>
      </w:pPr>
    </w:p>
    <w:p w14:paraId="32A66F69" w14:textId="51FA1A3B" w:rsidR="00A130EA" w:rsidRPr="009202CC" w:rsidRDefault="00A130EA" w:rsidP="00A130EA">
      <w:pPr>
        <w:pStyle w:val="NoSpacing"/>
        <w:ind w:firstLine="450"/>
        <w:jc w:val="both"/>
        <w:rPr>
          <w:rFonts w:ascii="Times New Roman" w:hAnsi="Times New Roman" w:cs="Times New Roman"/>
        </w:rPr>
      </w:pPr>
      <w:r w:rsidRPr="00A130EA">
        <w:rPr>
          <w:rFonts w:ascii="Times New Roman" w:hAnsi="Times New Roman" w:cs="Times New Roman"/>
        </w:rPr>
        <w:t xml:space="preserve">The instruction on </w:t>
      </w:r>
      <w:r>
        <w:rPr>
          <w:rFonts w:ascii="Times New Roman" w:hAnsi="Times New Roman" w:cs="Times New Roman"/>
        </w:rPr>
        <w:t>“</w:t>
      </w:r>
      <w:r w:rsidRPr="00A130EA">
        <w:rPr>
          <w:rFonts w:ascii="Times New Roman" w:hAnsi="Times New Roman" w:cs="Times New Roman"/>
        </w:rPr>
        <w:t>without consent</w:t>
      </w:r>
      <w:r>
        <w:rPr>
          <w:rFonts w:ascii="Times New Roman" w:hAnsi="Times New Roman" w:cs="Times New Roman"/>
        </w:rPr>
        <w:t>”</w:t>
      </w:r>
      <w:r w:rsidRPr="00A130EA">
        <w:rPr>
          <w:rFonts w:ascii="Times New Roman" w:hAnsi="Times New Roman" w:cs="Times New Roman"/>
        </w:rPr>
        <w:t xml:space="preserve"> rephrases the statutory definition in the interest of clarifying it for the jury. First, it states the element in the active voice by requiring that the victim did not consent. Second, the Committee concluded that it was </w:t>
      </w:r>
      <w:proofErr w:type="gramStart"/>
      <w:r w:rsidRPr="00A130EA">
        <w:rPr>
          <w:rFonts w:ascii="Times New Roman" w:hAnsi="Times New Roman" w:cs="Times New Roman"/>
        </w:rPr>
        <w:t>more clear</w:t>
      </w:r>
      <w:proofErr w:type="gramEnd"/>
      <w:r w:rsidRPr="00A130EA">
        <w:rPr>
          <w:rFonts w:ascii="Times New Roman" w:hAnsi="Times New Roman" w:cs="Times New Roman"/>
        </w:rPr>
        <w:t xml:space="preserve"> to refer to consent as </w:t>
      </w:r>
      <w:r w:rsidR="00304084">
        <w:rPr>
          <w:rFonts w:ascii="Times New Roman" w:hAnsi="Times New Roman" w:cs="Times New Roman"/>
        </w:rPr>
        <w:t>a</w:t>
      </w:r>
      <w:r w:rsidRPr="00A130EA">
        <w:rPr>
          <w:rFonts w:ascii="Times New Roman" w:hAnsi="Times New Roman" w:cs="Times New Roman"/>
        </w:rPr>
        <w:t xml:space="preserve"> freely given agreement which may be shown by words or actions rather than to reiterate the statute which refers to consent as </w:t>
      </w:r>
      <w:r>
        <w:rPr>
          <w:rFonts w:ascii="Times New Roman" w:hAnsi="Times New Roman" w:cs="Times New Roman"/>
        </w:rPr>
        <w:t>“</w:t>
      </w:r>
      <w:r w:rsidRPr="00A130EA">
        <w:rPr>
          <w:rFonts w:ascii="Times New Roman" w:hAnsi="Times New Roman" w:cs="Times New Roman"/>
        </w:rPr>
        <w:t>words or overt actions indicating a freely given agreement.</w:t>
      </w:r>
      <w:r>
        <w:rPr>
          <w:rFonts w:ascii="Times New Roman" w:hAnsi="Times New Roman" w:cs="Times New Roman"/>
        </w:rPr>
        <w:t>”</w:t>
      </w:r>
      <w:r w:rsidRPr="00A130EA">
        <w:rPr>
          <w:rFonts w:ascii="Times New Roman" w:hAnsi="Times New Roman" w:cs="Times New Roman"/>
        </w:rPr>
        <w:t xml:space="preserve"> No change in meaning is intended. It is more </w:t>
      </w:r>
      <w:r w:rsidRPr="009202CC">
        <w:rPr>
          <w:rFonts w:ascii="Times New Roman" w:hAnsi="Times New Roman" w:cs="Times New Roman"/>
        </w:rPr>
        <w:t>direct to speak of consent as an agreement, evidence of which may be provided by words or actions of the victim, along with the other facts concerning the incident.</w:t>
      </w:r>
    </w:p>
    <w:p w14:paraId="360CE264" w14:textId="77777777" w:rsidR="00A130EA" w:rsidRPr="009202CC" w:rsidRDefault="00A130EA" w:rsidP="00A130EA">
      <w:pPr>
        <w:pStyle w:val="NoSpacing"/>
        <w:jc w:val="both"/>
        <w:rPr>
          <w:rFonts w:ascii="Times New Roman" w:hAnsi="Times New Roman" w:cs="Times New Roman"/>
        </w:rPr>
      </w:pPr>
    </w:p>
    <w:p w14:paraId="2755E89A" w14:textId="34F7E042" w:rsidR="00A130EA" w:rsidRPr="009202CC" w:rsidRDefault="00A130EA" w:rsidP="00A130EA">
      <w:pPr>
        <w:pStyle w:val="NoSpacing"/>
        <w:ind w:firstLine="450"/>
        <w:jc w:val="both"/>
        <w:rPr>
          <w:rFonts w:ascii="Times New Roman" w:hAnsi="Times New Roman" w:cs="Times New Roman"/>
        </w:rPr>
      </w:pPr>
      <w:r w:rsidRPr="009202CC">
        <w:rPr>
          <w:rFonts w:ascii="Times New Roman" w:hAnsi="Times New Roman" w:cs="Times New Roman"/>
        </w:rPr>
        <w:t>If the jury finds that the victim did not in fact consent, it apparently is no defense that the defendant believed there was consent, even if the defendant’s belief is reasonable. This is the case because Wis. Stat. § 940.225 uses none of the “intent words” which indicate that the defendant's knowledge of no consent is an element of the crime, see Wis. Stat. § 939.23.</w:t>
      </w:r>
    </w:p>
    <w:p w14:paraId="1411C654" w14:textId="25C9205B" w:rsidR="00A130EA" w:rsidRPr="009202CC" w:rsidRDefault="00A130EA">
      <w:pPr>
        <w:pStyle w:val="EndnoteText"/>
        <w:rPr>
          <w:sz w:val="22"/>
          <w:szCs w:val="22"/>
        </w:rPr>
      </w:pPr>
    </w:p>
  </w:endnote>
  <w:endnote w:id="3">
    <w:p w14:paraId="0B6F413E" w14:textId="4DE4EBA3" w:rsidR="009202CC" w:rsidRPr="009202CC" w:rsidRDefault="009202CC" w:rsidP="009202CC">
      <w:pPr>
        <w:pStyle w:val="NoSpacing"/>
        <w:tabs>
          <w:tab w:val="left" w:pos="900"/>
        </w:tabs>
        <w:ind w:firstLine="450"/>
        <w:jc w:val="both"/>
        <w:rPr>
          <w:rFonts w:ascii="Times New Roman" w:hAnsi="Times New Roman" w:cs="Times New Roman"/>
        </w:rPr>
      </w:pPr>
      <w:r w:rsidRPr="009202CC">
        <w:rPr>
          <w:rFonts w:ascii="Times New Roman" w:hAnsi="Times New Roman" w:cs="Times New Roman"/>
        </w:rPr>
        <w:endnoteRef/>
      </w:r>
      <w:r w:rsidRPr="009202CC">
        <w:rPr>
          <w:rFonts w:ascii="Times New Roman" w:hAnsi="Times New Roman" w:cs="Times New Roman"/>
        </w:rPr>
        <w:t>.</w:t>
      </w:r>
      <w:r>
        <w:rPr>
          <w:rFonts w:ascii="Times New Roman" w:hAnsi="Times New Roman" w:cs="Times New Roman"/>
        </w:rPr>
        <w:tab/>
      </w:r>
      <w:r w:rsidRPr="009202CC">
        <w:rPr>
          <w:rFonts w:ascii="Times New Roman" w:hAnsi="Times New Roman" w:cs="Times New Roman"/>
        </w:rPr>
        <w:t xml:space="preserve">See </w:t>
      </w:r>
      <w:r w:rsidRPr="009202CC">
        <w:rPr>
          <w:rFonts w:ascii="Times New Roman" w:hAnsi="Times New Roman" w:cs="Times New Roman"/>
          <w:u w:val="single"/>
        </w:rPr>
        <w:t>State v. Lederer</w:t>
      </w:r>
      <w:r w:rsidRPr="009202CC">
        <w:rPr>
          <w:rFonts w:ascii="Times New Roman" w:hAnsi="Times New Roman" w:cs="Times New Roman"/>
        </w:rPr>
        <w:t>, 99 Wis.</w:t>
      </w:r>
      <w:r w:rsidR="00830857">
        <w:rPr>
          <w:rFonts w:ascii="Times New Roman" w:hAnsi="Times New Roman" w:cs="Times New Roman"/>
        </w:rPr>
        <w:t xml:space="preserve"> </w:t>
      </w:r>
      <w:r w:rsidRPr="009202CC">
        <w:rPr>
          <w:rFonts w:ascii="Times New Roman" w:hAnsi="Times New Roman" w:cs="Times New Roman"/>
        </w:rPr>
        <w:t xml:space="preserve">2d 430, 299 N.W.2d 457 (Ct. App. 1980); </w:t>
      </w:r>
      <w:r w:rsidRPr="009202CC">
        <w:rPr>
          <w:rFonts w:ascii="Times New Roman" w:hAnsi="Times New Roman" w:cs="Times New Roman"/>
          <w:u w:val="single"/>
        </w:rPr>
        <w:t>State v. Clark</w:t>
      </w:r>
      <w:r w:rsidRPr="009202CC">
        <w:rPr>
          <w:rFonts w:ascii="Times New Roman" w:hAnsi="Times New Roman" w:cs="Times New Roman"/>
        </w:rPr>
        <w:t>, 89 Wis.</w:t>
      </w:r>
      <w:r w:rsidR="00830857">
        <w:rPr>
          <w:rFonts w:ascii="Times New Roman" w:hAnsi="Times New Roman" w:cs="Times New Roman"/>
        </w:rPr>
        <w:t xml:space="preserve"> </w:t>
      </w:r>
      <w:r w:rsidRPr="009202CC">
        <w:rPr>
          <w:rFonts w:ascii="Times New Roman" w:hAnsi="Times New Roman" w:cs="Times New Roman"/>
        </w:rPr>
        <w:t>2d 804, 275 N.W.2d 715 (1979).</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57CC7" w14:textId="77777777" w:rsidR="009264F7" w:rsidRDefault="009264F7" w:rsidP="009264F7">
    <w:pPr>
      <w:pStyle w:val="Footer"/>
      <w:rPr>
        <w:rFonts w:ascii="Arial" w:hAnsi="Arial" w:cs="Arial"/>
        <w:sz w:val="20"/>
        <w:szCs w:val="20"/>
      </w:rPr>
    </w:pPr>
  </w:p>
  <w:p w14:paraId="2A524157" w14:textId="35CEE8F6" w:rsidR="009264F7" w:rsidRPr="009264F7" w:rsidRDefault="009264F7" w:rsidP="009264F7">
    <w:pPr>
      <w:pStyle w:val="Footer"/>
      <w:rPr>
        <w:rFonts w:ascii="Arial" w:hAnsi="Arial" w:cs="Arial"/>
        <w:sz w:val="20"/>
        <w:szCs w:val="20"/>
      </w:rPr>
    </w:pPr>
    <w:r w:rsidRPr="009264F7">
      <w:rPr>
        <w:rFonts w:ascii="Arial" w:hAnsi="Arial" w:cs="Arial"/>
        <w:sz w:val="20"/>
        <w:szCs w:val="20"/>
      </w:rPr>
      <w:t xml:space="preserve">Wisconsin Court System, </w:t>
    </w:r>
    <w:r w:rsidR="00E37ECE">
      <w:rPr>
        <w:rFonts w:ascii="Arial" w:hAnsi="Arial" w:cs="Arial"/>
        <w:sz w:val="20"/>
        <w:szCs w:val="20"/>
      </w:rPr>
      <w:t>7</w:t>
    </w:r>
    <w:r w:rsidRPr="009264F7">
      <w:rPr>
        <w:rFonts w:ascii="Arial" w:hAnsi="Arial" w:cs="Arial"/>
        <w:sz w:val="20"/>
        <w:szCs w:val="20"/>
      </w:rPr>
      <w:t>/2026</w:t>
    </w:r>
    <w:r w:rsidRPr="009264F7">
      <w:rPr>
        <w:rFonts w:ascii="Arial" w:hAnsi="Arial" w:cs="Arial"/>
        <w:sz w:val="20"/>
        <w:szCs w:val="20"/>
      </w:rPr>
      <w:tab/>
    </w:r>
    <w:r w:rsidRPr="009264F7">
      <w:rPr>
        <w:rFonts w:ascii="Arial" w:hAnsi="Arial" w:cs="Arial"/>
        <w:sz w:val="20"/>
        <w:szCs w:val="20"/>
      </w:rPr>
      <w:tab/>
      <w:t>(</w:t>
    </w:r>
    <w:r w:rsidR="00A86E7A">
      <w:rPr>
        <w:rFonts w:ascii="Arial" w:hAnsi="Arial" w:cs="Arial"/>
        <w:sz w:val="20"/>
        <w:szCs w:val="20"/>
      </w:rPr>
      <w:t>Release No. 71</w:t>
    </w:r>
    <w:r w:rsidRPr="009264F7">
      <w:rPr>
        <w:rFonts w:ascii="Arial" w:hAnsi="Arial" w:cs="Arial"/>
        <w:sz w:val="20"/>
        <w:szCs w:val="20"/>
      </w:rPr>
      <w:t>)</w:t>
    </w:r>
  </w:p>
  <w:sdt>
    <w:sdtPr>
      <w:rPr>
        <w:rFonts w:ascii="Arial" w:hAnsi="Arial" w:cs="Arial"/>
        <w:sz w:val="20"/>
        <w:szCs w:val="20"/>
      </w:rPr>
      <w:id w:val="1295097382"/>
      <w:docPartObj>
        <w:docPartGallery w:val="Page Numbers (Bottom of Page)"/>
        <w:docPartUnique/>
      </w:docPartObj>
    </w:sdtPr>
    <w:sdtEndPr>
      <w:rPr>
        <w:noProof/>
      </w:rPr>
    </w:sdtEndPr>
    <w:sdtContent>
      <w:p w14:paraId="190988F9" w14:textId="6BD6CBB8" w:rsidR="009264F7" w:rsidRPr="009264F7" w:rsidRDefault="009264F7">
        <w:pPr>
          <w:pStyle w:val="Footer"/>
          <w:jc w:val="center"/>
          <w:rPr>
            <w:rFonts w:ascii="Arial" w:hAnsi="Arial" w:cs="Arial"/>
            <w:sz w:val="20"/>
            <w:szCs w:val="20"/>
          </w:rPr>
        </w:pPr>
        <w:r w:rsidRPr="009264F7">
          <w:rPr>
            <w:rFonts w:ascii="Arial" w:hAnsi="Arial" w:cs="Arial"/>
            <w:sz w:val="20"/>
            <w:szCs w:val="20"/>
          </w:rPr>
          <w:fldChar w:fldCharType="begin"/>
        </w:r>
        <w:r w:rsidRPr="009264F7">
          <w:rPr>
            <w:rFonts w:ascii="Arial" w:hAnsi="Arial" w:cs="Arial"/>
            <w:sz w:val="20"/>
            <w:szCs w:val="20"/>
          </w:rPr>
          <w:instrText xml:space="preserve"> PAGE   \* MERGEFORMAT </w:instrText>
        </w:r>
        <w:r w:rsidRPr="009264F7">
          <w:rPr>
            <w:rFonts w:ascii="Arial" w:hAnsi="Arial" w:cs="Arial"/>
            <w:sz w:val="20"/>
            <w:szCs w:val="20"/>
          </w:rPr>
          <w:fldChar w:fldCharType="separate"/>
        </w:r>
        <w:r w:rsidRPr="009264F7">
          <w:rPr>
            <w:rFonts w:ascii="Arial" w:hAnsi="Arial" w:cs="Arial"/>
            <w:noProof/>
            <w:sz w:val="20"/>
            <w:szCs w:val="20"/>
          </w:rPr>
          <w:t>2</w:t>
        </w:r>
        <w:r w:rsidRPr="009264F7">
          <w:rPr>
            <w:rFonts w:ascii="Arial" w:hAnsi="Arial" w:cs="Arial"/>
            <w:noProof/>
            <w:sz w:val="20"/>
            <w:szCs w:val="20"/>
          </w:rPr>
          <w:fldChar w:fldCharType="end"/>
        </w:r>
      </w:p>
    </w:sdtContent>
  </w:sdt>
  <w:p w14:paraId="04ECF95B" w14:textId="77777777" w:rsidR="009264F7" w:rsidRDefault="00926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6A600" w14:textId="77777777" w:rsidR="009264F7" w:rsidRDefault="009264F7" w:rsidP="009264F7">
      <w:pPr>
        <w:spacing w:after="0" w:line="240" w:lineRule="auto"/>
      </w:pPr>
      <w:r>
        <w:separator/>
      </w:r>
    </w:p>
  </w:footnote>
  <w:footnote w:type="continuationSeparator" w:id="0">
    <w:p w14:paraId="287FE1AD" w14:textId="77777777" w:rsidR="009264F7" w:rsidRDefault="009264F7" w:rsidP="00926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C746D" w14:textId="77777777" w:rsidR="009264F7" w:rsidRDefault="009264F7" w:rsidP="009264F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3BF3E953" w14:textId="1D24548D" w:rsidR="009264F7" w:rsidRDefault="009264F7" w:rsidP="009264F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9264F7">
      <w:rPr>
        <w:rFonts w:ascii="Arial" w:eastAsia="Times New Roman" w:hAnsi="Arial" w:cs="Arial"/>
        <w:b/>
        <w:bCs/>
        <w:sz w:val="28"/>
        <w:szCs w:val="28"/>
      </w:rPr>
      <w:t>1218A</w:t>
    </w:r>
    <w:r w:rsidRPr="009264F7">
      <w:rPr>
        <w:rFonts w:ascii="Arial" w:eastAsia="Times New Roman" w:hAnsi="Arial" w:cs="Arial"/>
        <w:b/>
        <w:bCs/>
        <w:sz w:val="28"/>
        <w:szCs w:val="28"/>
      </w:rPr>
      <w:tab/>
      <w:t>WIS JI</w:t>
    </w:r>
    <w:r w:rsidRPr="009264F7">
      <w:rPr>
        <w:rFonts w:ascii="Arial" w:eastAsia="Times New Roman" w:hAnsi="Arial" w:cs="Arial"/>
        <w:b/>
        <w:bCs/>
        <w:sz w:val="28"/>
        <w:szCs w:val="28"/>
      </w:rPr>
      <w:noBreakHyphen/>
      <w:t>CRIMINAL</w:t>
    </w:r>
    <w:r w:rsidRPr="009264F7">
      <w:rPr>
        <w:rFonts w:ascii="Arial" w:eastAsia="Times New Roman" w:hAnsi="Arial" w:cs="Arial"/>
        <w:b/>
        <w:bCs/>
        <w:sz w:val="28"/>
        <w:szCs w:val="28"/>
      </w:rPr>
      <w:tab/>
      <w:t>1218A</w:t>
    </w:r>
  </w:p>
  <w:p w14:paraId="02D4131E" w14:textId="1CEE200C" w:rsidR="009264F7" w:rsidRDefault="009264F7" w:rsidP="009264F7">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6501E09" w14:textId="77777777" w:rsidR="009264F7" w:rsidRPr="009264F7" w:rsidRDefault="009264F7" w:rsidP="009264F7">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50A81"/>
    <w:multiLevelType w:val="hybridMultilevel"/>
    <w:tmpl w:val="C186E01C"/>
    <w:lvl w:ilvl="0" w:tplc="9D184154">
      <w:start w:val="1"/>
      <w:numFmt w:val="decimal"/>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4F7"/>
    <w:rsid w:val="00304084"/>
    <w:rsid w:val="00416493"/>
    <w:rsid w:val="004C5817"/>
    <w:rsid w:val="00610D46"/>
    <w:rsid w:val="00830857"/>
    <w:rsid w:val="009202CC"/>
    <w:rsid w:val="009264F7"/>
    <w:rsid w:val="009F1534"/>
    <w:rsid w:val="009F41A6"/>
    <w:rsid w:val="00A130EA"/>
    <w:rsid w:val="00A86E7A"/>
    <w:rsid w:val="00C052B1"/>
    <w:rsid w:val="00E3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DF3A5FA"/>
  <w15:chartTrackingRefBased/>
  <w15:docId w15:val="{2A26DEE6-811B-44F5-BC29-564C1330B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64F7"/>
  </w:style>
  <w:style w:type="paragraph" w:styleId="Footer">
    <w:name w:val="footer"/>
    <w:basedOn w:val="Normal"/>
    <w:link w:val="FooterChar"/>
    <w:uiPriority w:val="99"/>
    <w:unhideWhenUsed/>
    <w:rsid w:val="00926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64F7"/>
  </w:style>
  <w:style w:type="paragraph" w:styleId="NoSpacing">
    <w:name w:val="No Spacing"/>
    <w:uiPriority w:val="1"/>
    <w:qFormat/>
    <w:rsid w:val="009264F7"/>
    <w:pPr>
      <w:spacing w:after="0" w:line="240" w:lineRule="auto"/>
    </w:pPr>
  </w:style>
  <w:style w:type="character" w:styleId="LineNumber">
    <w:name w:val="line number"/>
    <w:basedOn w:val="DefaultParagraphFont"/>
    <w:uiPriority w:val="99"/>
    <w:semiHidden/>
    <w:unhideWhenUsed/>
    <w:rsid w:val="009264F7"/>
  </w:style>
  <w:style w:type="paragraph" w:styleId="EndnoteText">
    <w:name w:val="endnote text"/>
    <w:basedOn w:val="Normal"/>
    <w:link w:val="EndnoteTextChar"/>
    <w:uiPriority w:val="99"/>
    <w:semiHidden/>
    <w:unhideWhenUsed/>
    <w:rsid w:val="00A130E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130EA"/>
    <w:rPr>
      <w:sz w:val="20"/>
      <w:szCs w:val="20"/>
    </w:rPr>
  </w:style>
  <w:style w:type="character" w:styleId="EndnoteReference">
    <w:name w:val="endnote reference"/>
    <w:basedOn w:val="DefaultParagraphFont"/>
    <w:uiPriority w:val="99"/>
    <w:semiHidden/>
    <w:unhideWhenUsed/>
    <w:rsid w:val="00A130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1E879-5B87-4DE3-A871-3FB937DDF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330</Words>
  <Characters>1884</Characters>
  <Application>Microsoft Office Word</Application>
  <DocSecurity>0</DocSecurity>
  <Lines>15</Lines>
  <Paragraphs>4</Paragraphs>
  <ScaleCrop>false</ScaleCrop>
  <Company>Wisconsin Supreme Court</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4</cp:revision>
  <dcterms:created xsi:type="dcterms:W3CDTF">2026-07-09T17:43:00Z</dcterms:created>
  <dcterms:modified xsi:type="dcterms:W3CDTF">2026-07-09T17:55:00Z</dcterms:modified>
</cp:coreProperties>
</file>