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50F26" w14:textId="505FB68B" w:rsidR="003D6370" w:rsidRPr="00C62DAA" w:rsidRDefault="003D6370" w:rsidP="003D6370">
      <w:pPr>
        <w:widowControl/>
        <w:tabs>
          <w:tab w:val="left" w:pos="720"/>
          <w:tab w:val="left" w:pos="1440"/>
          <w:tab w:val="left" w:pos="2160"/>
          <w:tab w:val="left" w:pos="2880"/>
          <w:tab w:val="left" w:pos="3600"/>
          <w:tab w:val="left" w:pos="4320"/>
          <w:tab w:val="left" w:pos="5040"/>
          <w:tab w:val="left" w:pos="5760"/>
        </w:tabs>
        <w:ind w:left="720" w:hanging="720"/>
        <w:jc w:val="both"/>
        <w:rPr>
          <w:sz w:val="26"/>
          <w:szCs w:val="26"/>
        </w:rPr>
      </w:pPr>
      <w:r w:rsidRPr="00C62DAA">
        <w:rPr>
          <w:b/>
          <w:bCs/>
          <w:sz w:val="26"/>
          <w:szCs w:val="26"/>
        </w:rPr>
        <w:t>1229</w:t>
      </w:r>
      <w:r w:rsidRPr="00C62DAA">
        <w:rPr>
          <w:b/>
          <w:bCs/>
          <w:sz w:val="26"/>
          <w:szCs w:val="26"/>
        </w:rPr>
        <w:tab/>
        <w:t xml:space="preserve">BATTERY BY A PERSON SUBJECT TO AN INJUNCTION — </w:t>
      </w:r>
      <w:r w:rsidR="002D355F" w:rsidRPr="00C62DAA">
        <w:rPr>
          <w:b/>
          <w:bCs/>
          <w:sz w:val="26"/>
          <w:szCs w:val="26"/>
        </w:rPr>
        <w:t>§ 940.61(1)</w:t>
      </w:r>
    </w:p>
    <w:p w14:paraId="3B9C28D5" w14:textId="06372D6D" w:rsidR="001919B0" w:rsidRPr="00C62DAA" w:rsidRDefault="001919B0" w:rsidP="003D6370">
      <w:pPr>
        <w:pStyle w:val="NoSpacing"/>
        <w:rPr>
          <w:sz w:val="26"/>
          <w:szCs w:val="26"/>
        </w:rPr>
      </w:pPr>
    </w:p>
    <w:p w14:paraId="0DD669DF" w14:textId="730A6374" w:rsidR="003D6370" w:rsidRPr="00C62DAA" w:rsidRDefault="003D6370" w:rsidP="003D6370">
      <w:pPr>
        <w:pStyle w:val="NoSpacing"/>
        <w:rPr>
          <w:sz w:val="26"/>
          <w:szCs w:val="26"/>
        </w:rPr>
      </w:pPr>
    </w:p>
    <w:p w14:paraId="46A1CB08" w14:textId="77777777" w:rsidR="003D6370" w:rsidRPr="00C62DAA" w:rsidRDefault="003D6370" w:rsidP="003D6370">
      <w:pPr>
        <w:pStyle w:val="NoSpacing"/>
        <w:spacing w:line="480" w:lineRule="auto"/>
        <w:jc w:val="center"/>
        <w:rPr>
          <w:b/>
          <w:bCs/>
          <w:sz w:val="26"/>
          <w:szCs w:val="26"/>
        </w:rPr>
      </w:pPr>
      <w:r w:rsidRPr="00C62DAA">
        <w:rPr>
          <w:b/>
          <w:bCs/>
          <w:sz w:val="26"/>
          <w:szCs w:val="26"/>
        </w:rPr>
        <w:t>Statutory Definition of the Crime</w:t>
      </w:r>
    </w:p>
    <w:p w14:paraId="47F6DF87" w14:textId="25CDFE60" w:rsidR="003D6370" w:rsidRPr="00C62DAA" w:rsidRDefault="003D6370" w:rsidP="003D6370">
      <w:pPr>
        <w:pStyle w:val="NoSpacing"/>
        <w:spacing w:line="480" w:lineRule="auto"/>
        <w:ind w:firstLine="450"/>
        <w:jc w:val="both"/>
        <w:rPr>
          <w:sz w:val="26"/>
          <w:szCs w:val="26"/>
        </w:rPr>
      </w:pPr>
      <w:r w:rsidRPr="00C62DAA">
        <w:rPr>
          <w:sz w:val="26"/>
          <w:szCs w:val="26"/>
        </w:rPr>
        <w:t>Section</w:t>
      </w:r>
      <w:r w:rsidR="002D355F" w:rsidRPr="00C62DAA">
        <w:rPr>
          <w:sz w:val="26"/>
          <w:szCs w:val="26"/>
        </w:rPr>
        <w:t xml:space="preserve"> 940.61(1) </w:t>
      </w:r>
      <w:r w:rsidRPr="00C62DAA">
        <w:rPr>
          <w:sz w:val="26"/>
          <w:szCs w:val="26"/>
        </w:rPr>
        <w:t xml:space="preserve">of the Criminal Code of Wisconsin is violated by a person who is subject to </w:t>
      </w:r>
      <w:r w:rsidR="007A10EB">
        <w:rPr>
          <w:sz w:val="26"/>
          <w:szCs w:val="26"/>
        </w:rPr>
        <w:t>(</w:t>
      </w:r>
      <w:r w:rsidRPr="00C62DAA">
        <w:rPr>
          <w:sz w:val="26"/>
          <w:szCs w:val="26"/>
        </w:rPr>
        <w:t>a domestic abuse</w:t>
      </w:r>
      <w:r w:rsidR="00706DB4">
        <w:rPr>
          <w:sz w:val="26"/>
          <w:szCs w:val="26"/>
        </w:rPr>
        <w:t xml:space="preserve"> injunction</w:t>
      </w:r>
      <w:r w:rsidR="007A10EB">
        <w:rPr>
          <w:sz w:val="26"/>
          <w:szCs w:val="26"/>
        </w:rPr>
        <w:t>)</w:t>
      </w:r>
      <w:r w:rsidRPr="00C62DAA">
        <w:rPr>
          <w:sz w:val="26"/>
          <w:szCs w:val="26"/>
        </w:rPr>
        <w:t xml:space="preserve"> </w:t>
      </w:r>
      <w:r w:rsidR="007A10EB">
        <w:rPr>
          <w:sz w:val="26"/>
          <w:szCs w:val="26"/>
        </w:rPr>
        <w:t>(</w:t>
      </w:r>
      <w:r w:rsidRPr="00C62DAA">
        <w:rPr>
          <w:sz w:val="26"/>
          <w:szCs w:val="26"/>
        </w:rPr>
        <w:t>a</w:t>
      </w:r>
      <w:r w:rsidR="00706DB4">
        <w:rPr>
          <w:sz w:val="26"/>
          <w:szCs w:val="26"/>
        </w:rPr>
        <w:t xml:space="preserve"> </w:t>
      </w:r>
      <w:r w:rsidRPr="00C62DAA">
        <w:rPr>
          <w:sz w:val="26"/>
          <w:szCs w:val="26"/>
        </w:rPr>
        <w:t>harassment</w:t>
      </w:r>
      <w:r w:rsidR="00706DB4">
        <w:rPr>
          <w:sz w:val="26"/>
          <w:szCs w:val="26"/>
        </w:rPr>
        <w:t xml:space="preserve"> injunction</w:t>
      </w:r>
      <w:r w:rsidR="007A10EB">
        <w:rPr>
          <w:sz w:val="26"/>
          <w:szCs w:val="26"/>
        </w:rPr>
        <w:t>)</w:t>
      </w:r>
      <w:r w:rsidRPr="00C62DAA">
        <w:rPr>
          <w:sz w:val="26"/>
          <w:szCs w:val="26"/>
          <w:vertAlign w:val="superscript"/>
        </w:rPr>
        <w:t>1</w:t>
      </w:r>
      <w:r w:rsidRPr="00C62DAA">
        <w:rPr>
          <w:sz w:val="26"/>
          <w:szCs w:val="26"/>
        </w:rPr>
        <w:t xml:space="preserve"> </w:t>
      </w:r>
      <w:r w:rsidR="007A10EB">
        <w:rPr>
          <w:sz w:val="26"/>
          <w:szCs w:val="26"/>
        </w:rPr>
        <w:t>(</w:t>
      </w:r>
      <w:r w:rsidR="00706DB4" w:rsidRPr="00706DB4">
        <w:rPr>
          <w:sz w:val="26"/>
          <w:szCs w:val="26"/>
        </w:rPr>
        <w:t>a tribal injunction filed under s. 813.128(3g)</w:t>
      </w:r>
      <w:r w:rsidR="007A10EB">
        <w:rPr>
          <w:sz w:val="26"/>
          <w:szCs w:val="26"/>
        </w:rPr>
        <w:t>)</w:t>
      </w:r>
      <w:r w:rsidRPr="00C62DAA">
        <w:rPr>
          <w:sz w:val="26"/>
          <w:szCs w:val="26"/>
        </w:rPr>
        <w:t xml:space="preserve"> and who intentionally causes bodily harm to the petitioner who sought the injunction by an act done without the consent of that person.</w:t>
      </w:r>
    </w:p>
    <w:p w14:paraId="64EA0DEA" w14:textId="44934D44" w:rsidR="003D6370" w:rsidRPr="00C62DAA" w:rsidRDefault="003D6370" w:rsidP="003D6370">
      <w:pPr>
        <w:pStyle w:val="NoSpacing"/>
        <w:spacing w:line="480" w:lineRule="auto"/>
        <w:jc w:val="center"/>
        <w:rPr>
          <w:b/>
          <w:bCs/>
          <w:sz w:val="26"/>
          <w:szCs w:val="26"/>
        </w:rPr>
      </w:pPr>
      <w:r w:rsidRPr="00C62DAA">
        <w:rPr>
          <w:b/>
          <w:bCs/>
          <w:sz w:val="26"/>
          <w:szCs w:val="26"/>
        </w:rPr>
        <w:t>State’s Burden of Proof</w:t>
      </w:r>
    </w:p>
    <w:p w14:paraId="0224BBFA" w14:textId="77777777" w:rsidR="003D6370" w:rsidRPr="00C62DAA" w:rsidRDefault="003D6370" w:rsidP="003D6370">
      <w:pPr>
        <w:pStyle w:val="NoSpacing"/>
        <w:spacing w:line="480" w:lineRule="auto"/>
        <w:ind w:firstLine="450"/>
        <w:jc w:val="both"/>
        <w:rPr>
          <w:sz w:val="26"/>
          <w:szCs w:val="26"/>
        </w:rPr>
      </w:pPr>
      <w:r w:rsidRPr="00C62DAA">
        <w:rPr>
          <w:sz w:val="26"/>
          <w:szCs w:val="26"/>
        </w:rPr>
        <w:t>Before you may find the defendant guilty of this offense, the State must prove by evidence which satisfies you beyond a reasonable doubt that the following five elements were present.</w:t>
      </w:r>
    </w:p>
    <w:p w14:paraId="564C23DC" w14:textId="4F18B809" w:rsidR="003D6370" w:rsidRPr="00C62DAA" w:rsidRDefault="003D6370" w:rsidP="003D6370">
      <w:pPr>
        <w:pStyle w:val="NoSpacing"/>
        <w:spacing w:line="480" w:lineRule="auto"/>
        <w:jc w:val="center"/>
        <w:rPr>
          <w:b/>
          <w:bCs/>
          <w:sz w:val="26"/>
          <w:szCs w:val="26"/>
        </w:rPr>
      </w:pPr>
      <w:r w:rsidRPr="00C62DAA">
        <w:rPr>
          <w:b/>
          <w:bCs/>
          <w:sz w:val="26"/>
          <w:szCs w:val="26"/>
        </w:rPr>
        <w:t>Elements of the Crime That the State Must Prove</w:t>
      </w:r>
    </w:p>
    <w:p w14:paraId="4208980C" w14:textId="7AA0DD9C" w:rsidR="003D6370" w:rsidRPr="00C62DAA" w:rsidRDefault="003D6370" w:rsidP="003D6370">
      <w:pPr>
        <w:pStyle w:val="NoSpacing"/>
        <w:tabs>
          <w:tab w:val="left" w:pos="900"/>
        </w:tabs>
        <w:spacing w:line="480" w:lineRule="auto"/>
        <w:ind w:left="900" w:hanging="450"/>
        <w:jc w:val="both"/>
        <w:rPr>
          <w:sz w:val="26"/>
          <w:szCs w:val="26"/>
        </w:rPr>
      </w:pPr>
      <w:r w:rsidRPr="00C62DAA">
        <w:rPr>
          <w:sz w:val="26"/>
          <w:szCs w:val="26"/>
        </w:rPr>
        <w:t>1.</w:t>
      </w:r>
      <w:r w:rsidRPr="00C62DAA">
        <w:rPr>
          <w:sz w:val="26"/>
          <w:szCs w:val="26"/>
        </w:rPr>
        <w:tab/>
        <w:t>(</w:t>
      </w:r>
      <w:r w:rsidRPr="00C62DAA">
        <w:rPr>
          <w:sz w:val="26"/>
          <w:szCs w:val="26"/>
          <w:u w:val="single"/>
        </w:rPr>
        <w:t>Name of victim</w:t>
      </w:r>
      <w:r w:rsidRPr="00C62DAA">
        <w:rPr>
          <w:sz w:val="26"/>
          <w:szCs w:val="26"/>
        </w:rPr>
        <w:t xml:space="preserve">) petitioned for </w:t>
      </w:r>
      <w:r w:rsidR="00706DB4">
        <w:rPr>
          <w:sz w:val="26"/>
          <w:szCs w:val="26"/>
        </w:rPr>
        <w:t>(</w:t>
      </w:r>
      <w:r w:rsidRPr="00C62DAA">
        <w:rPr>
          <w:sz w:val="26"/>
          <w:szCs w:val="26"/>
        </w:rPr>
        <w:t>a domestic abuse</w:t>
      </w:r>
      <w:r w:rsidR="00706DB4">
        <w:rPr>
          <w:sz w:val="26"/>
          <w:szCs w:val="26"/>
        </w:rPr>
        <w:t xml:space="preserve"> injunction)</w:t>
      </w:r>
      <w:r w:rsidRPr="00C62DAA">
        <w:rPr>
          <w:sz w:val="26"/>
          <w:szCs w:val="26"/>
        </w:rPr>
        <w:t xml:space="preserve"> </w:t>
      </w:r>
      <w:r w:rsidR="00706DB4">
        <w:rPr>
          <w:sz w:val="26"/>
          <w:szCs w:val="26"/>
        </w:rPr>
        <w:t>(</w:t>
      </w:r>
      <w:r w:rsidRPr="00C62DAA">
        <w:rPr>
          <w:sz w:val="26"/>
          <w:szCs w:val="26"/>
        </w:rPr>
        <w:t>a harassment</w:t>
      </w:r>
      <w:r w:rsidR="00706DB4">
        <w:rPr>
          <w:sz w:val="26"/>
          <w:szCs w:val="26"/>
        </w:rPr>
        <w:t xml:space="preserve"> injunction)</w:t>
      </w:r>
      <w:r w:rsidRPr="00C62DAA">
        <w:rPr>
          <w:sz w:val="26"/>
          <w:szCs w:val="26"/>
        </w:rPr>
        <w:t xml:space="preserve"> </w:t>
      </w:r>
      <w:r w:rsidR="00706DB4">
        <w:rPr>
          <w:sz w:val="26"/>
          <w:szCs w:val="26"/>
        </w:rPr>
        <w:t>(</w:t>
      </w:r>
      <w:r w:rsidR="00706DB4" w:rsidRPr="00706DB4">
        <w:rPr>
          <w:sz w:val="26"/>
          <w:szCs w:val="26"/>
        </w:rPr>
        <w:t>a tribal injunction filed under s. 813.128(3g)</w:t>
      </w:r>
      <w:r w:rsidR="00706DB4">
        <w:rPr>
          <w:sz w:val="26"/>
          <w:szCs w:val="26"/>
        </w:rPr>
        <w:t>)</w:t>
      </w:r>
      <w:r w:rsidR="00706DB4" w:rsidRPr="00C62DAA">
        <w:rPr>
          <w:sz w:val="26"/>
          <w:szCs w:val="26"/>
        </w:rPr>
        <w:t xml:space="preserve"> </w:t>
      </w:r>
      <w:r w:rsidRPr="00C62DAA">
        <w:rPr>
          <w:sz w:val="26"/>
          <w:szCs w:val="26"/>
        </w:rPr>
        <w:t>against the defendant.</w:t>
      </w:r>
    </w:p>
    <w:p w14:paraId="5EBDEF21" w14:textId="6FAEB4FB" w:rsidR="003D6370" w:rsidRPr="00C62DAA" w:rsidRDefault="003D6370" w:rsidP="003D6370">
      <w:pPr>
        <w:pStyle w:val="NoSpacing"/>
        <w:tabs>
          <w:tab w:val="left" w:pos="900"/>
        </w:tabs>
        <w:spacing w:line="480" w:lineRule="auto"/>
        <w:ind w:left="900" w:hanging="450"/>
        <w:jc w:val="both"/>
        <w:rPr>
          <w:sz w:val="26"/>
          <w:szCs w:val="26"/>
        </w:rPr>
      </w:pPr>
      <w:r w:rsidRPr="00C62DAA">
        <w:rPr>
          <w:sz w:val="26"/>
          <w:szCs w:val="26"/>
        </w:rPr>
        <w:t>2.</w:t>
      </w:r>
      <w:r w:rsidRPr="00C62DAA">
        <w:rPr>
          <w:sz w:val="26"/>
          <w:szCs w:val="26"/>
        </w:rPr>
        <w:tab/>
        <w:t xml:space="preserve">At the time of the alleged offense, the defendant was subject to the </w:t>
      </w:r>
      <w:r w:rsidR="00706DB4">
        <w:rPr>
          <w:sz w:val="26"/>
          <w:szCs w:val="26"/>
        </w:rPr>
        <w:t>(</w:t>
      </w:r>
      <w:r w:rsidRPr="00C62DAA">
        <w:rPr>
          <w:sz w:val="26"/>
          <w:szCs w:val="26"/>
        </w:rPr>
        <w:t>domestic abuse</w:t>
      </w:r>
      <w:r w:rsidR="00706DB4" w:rsidRPr="00706DB4">
        <w:t xml:space="preserve"> </w:t>
      </w:r>
      <w:r w:rsidR="00706DB4" w:rsidRPr="00706DB4">
        <w:rPr>
          <w:sz w:val="26"/>
          <w:szCs w:val="26"/>
        </w:rPr>
        <w:t>injunction</w:t>
      </w:r>
      <w:r w:rsidR="00706DB4">
        <w:rPr>
          <w:sz w:val="26"/>
          <w:szCs w:val="26"/>
        </w:rPr>
        <w:t>)</w:t>
      </w:r>
      <w:r w:rsidRPr="00C62DAA">
        <w:rPr>
          <w:sz w:val="26"/>
          <w:szCs w:val="26"/>
        </w:rPr>
        <w:t xml:space="preserve"> </w:t>
      </w:r>
      <w:r w:rsidR="00706DB4">
        <w:rPr>
          <w:sz w:val="26"/>
          <w:szCs w:val="26"/>
        </w:rPr>
        <w:t>(</w:t>
      </w:r>
      <w:r w:rsidRPr="00C62DAA">
        <w:rPr>
          <w:sz w:val="26"/>
          <w:szCs w:val="26"/>
        </w:rPr>
        <w:t>harassment injunction</w:t>
      </w:r>
      <w:r w:rsidR="00706DB4">
        <w:rPr>
          <w:sz w:val="26"/>
          <w:szCs w:val="26"/>
        </w:rPr>
        <w:t>)</w:t>
      </w:r>
      <w:r w:rsidR="00706DB4" w:rsidRPr="00706DB4">
        <w:t xml:space="preserve"> </w:t>
      </w:r>
      <w:r w:rsidR="00706DB4" w:rsidRPr="00706DB4">
        <w:rPr>
          <w:sz w:val="26"/>
          <w:szCs w:val="26"/>
        </w:rPr>
        <w:t>(a tribal injunction filed under s. 813.128(3g))</w:t>
      </w:r>
      <w:r w:rsidR="00706DB4">
        <w:rPr>
          <w:sz w:val="26"/>
          <w:szCs w:val="26"/>
        </w:rPr>
        <w:t>.</w:t>
      </w:r>
    </w:p>
    <w:p w14:paraId="378BBEF9" w14:textId="57EF2BAD" w:rsidR="003D6370" w:rsidRPr="00C62DAA" w:rsidRDefault="003D6370" w:rsidP="003D6370">
      <w:pPr>
        <w:pStyle w:val="NoSpacing"/>
        <w:tabs>
          <w:tab w:val="left" w:pos="900"/>
        </w:tabs>
        <w:spacing w:line="480" w:lineRule="auto"/>
        <w:ind w:left="900" w:hanging="450"/>
        <w:jc w:val="both"/>
        <w:rPr>
          <w:sz w:val="26"/>
          <w:szCs w:val="26"/>
        </w:rPr>
      </w:pPr>
      <w:r w:rsidRPr="00C62DAA">
        <w:rPr>
          <w:sz w:val="26"/>
          <w:szCs w:val="26"/>
        </w:rPr>
        <w:t>3.</w:t>
      </w:r>
      <w:r w:rsidRPr="00C62DAA">
        <w:rPr>
          <w:sz w:val="26"/>
          <w:szCs w:val="26"/>
        </w:rPr>
        <w:tab/>
        <w:t>The defendant intentionally caused bodily harm to (</w:t>
      </w:r>
      <w:r w:rsidRPr="00C62DAA">
        <w:rPr>
          <w:sz w:val="26"/>
          <w:szCs w:val="26"/>
          <w:u w:val="single"/>
        </w:rPr>
        <w:t>name of victim</w:t>
      </w:r>
      <w:r w:rsidRPr="00C62DAA">
        <w:rPr>
          <w:sz w:val="26"/>
          <w:szCs w:val="26"/>
        </w:rPr>
        <w:t>).</w:t>
      </w:r>
    </w:p>
    <w:p w14:paraId="072A2536" w14:textId="7CBED53E" w:rsidR="003D6370" w:rsidRPr="00C62DAA" w:rsidRDefault="002D355F" w:rsidP="003D6370">
      <w:pPr>
        <w:pStyle w:val="NoSpacing"/>
        <w:tabs>
          <w:tab w:val="left" w:pos="900"/>
        </w:tabs>
        <w:spacing w:line="480" w:lineRule="auto"/>
        <w:ind w:left="900" w:firstLine="360"/>
        <w:jc w:val="both"/>
        <w:rPr>
          <w:sz w:val="26"/>
          <w:szCs w:val="26"/>
        </w:rPr>
      </w:pPr>
      <w:r w:rsidRPr="00C62DAA">
        <w:rPr>
          <w:sz w:val="26"/>
          <w:szCs w:val="26"/>
        </w:rPr>
        <w:t>“</w:t>
      </w:r>
      <w:r w:rsidR="003D6370" w:rsidRPr="00C62DAA">
        <w:rPr>
          <w:sz w:val="26"/>
          <w:szCs w:val="26"/>
        </w:rPr>
        <w:t>Cause</w:t>
      </w:r>
      <w:r w:rsidRPr="00C62DAA">
        <w:rPr>
          <w:sz w:val="26"/>
          <w:szCs w:val="26"/>
        </w:rPr>
        <w:t>”</w:t>
      </w:r>
      <w:r w:rsidR="003D6370" w:rsidRPr="00C62DAA">
        <w:rPr>
          <w:sz w:val="26"/>
          <w:szCs w:val="26"/>
        </w:rPr>
        <w:t xml:space="preserve"> means that the defendant</w:t>
      </w:r>
      <w:r w:rsidRPr="00C62DAA">
        <w:rPr>
          <w:sz w:val="26"/>
          <w:szCs w:val="26"/>
        </w:rPr>
        <w:t>’</w:t>
      </w:r>
      <w:r w:rsidR="003D6370" w:rsidRPr="00C62DAA">
        <w:rPr>
          <w:sz w:val="26"/>
          <w:szCs w:val="26"/>
        </w:rPr>
        <w:t>s conduct was a substantial factor in producing the bodily harm.</w:t>
      </w:r>
      <w:r w:rsidR="003D6370" w:rsidRPr="00C62DAA">
        <w:rPr>
          <w:sz w:val="26"/>
          <w:szCs w:val="26"/>
          <w:vertAlign w:val="superscript"/>
        </w:rPr>
        <w:t>2</w:t>
      </w:r>
    </w:p>
    <w:p w14:paraId="76E2386B" w14:textId="1D12255E" w:rsidR="003D6370" w:rsidRPr="00C62DAA" w:rsidRDefault="002D355F" w:rsidP="003D6370">
      <w:pPr>
        <w:pStyle w:val="NoSpacing"/>
        <w:tabs>
          <w:tab w:val="left" w:pos="900"/>
        </w:tabs>
        <w:spacing w:line="480" w:lineRule="auto"/>
        <w:ind w:left="900" w:firstLine="360"/>
        <w:jc w:val="both"/>
        <w:rPr>
          <w:sz w:val="26"/>
          <w:szCs w:val="26"/>
        </w:rPr>
      </w:pPr>
      <w:r w:rsidRPr="00C62DAA">
        <w:rPr>
          <w:sz w:val="26"/>
          <w:szCs w:val="26"/>
        </w:rPr>
        <w:t>“</w:t>
      </w:r>
      <w:r w:rsidR="003D6370" w:rsidRPr="00C62DAA">
        <w:rPr>
          <w:sz w:val="26"/>
          <w:szCs w:val="26"/>
        </w:rPr>
        <w:t>Bodily harm</w:t>
      </w:r>
      <w:r w:rsidRPr="00C62DAA">
        <w:rPr>
          <w:sz w:val="26"/>
          <w:szCs w:val="26"/>
        </w:rPr>
        <w:t>”</w:t>
      </w:r>
      <w:r w:rsidR="003D6370" w:rsidRPr="00C62DAA">
        <w:rPr>
          <w:sz w:val="26"/>
          <w:szCs w:val="26"/>
        </w:rPr>
        <w:t xml:space="preserve"> means physical pain or injury, illness, or any impairment of physical condition.</w:t>
      </w:r>
      <w:r w:rsidR="003D6370" w:rsidRPr="00C62DAA">
        <w:rPr>
          <w:sz w:val="26"/>
          <w:szCs w:val="26"/>
          <w:vertAlign w:val="superscript"/>
        </w:rPr>
        <w:t>3</w:t>
      </w:r>
    </w:p>
    <w:p w14:paraId="5F9B5CBA" w14:textId="64DFD683" w:rsidR="003D6370" w:rsidRPr="00C62DAA" w:rsidRDefault="003D6370" w:rsidP="003D6370">
      <w:pPr>
        <w:pStyle w:val="NoSpacing"/>
        <w:tabs>
          <w:tab w:val="left" w:pos="900"/>
        </w:tabs>
        <w:spacing w:line="480" w:lineRule="auto"/>
        <w:ind w:left="900" w:hanging="450"/>
        <w:jc w:val="both"/>
        <w:rPr>
          <w:sz w:val="26"/>
          <w:szCs w:val="26"/>
        </w:rPr>
      </w:pPr>
      <w:r w:rsidRPr="00C62DAA">
        <w:rPr>
          <w:sz w:val="26"/>
          <w:szCs w:val="26"/>
        </w:rPr>
        <w:lastRenderedPageBreak/>
        <w:t>4.</w:t>
      </w:r>
      <w:r w:rsidRPr="00C62DAA">
        <w:rPr>
          <w:sz w:val="26"/>
          <w:szCs w:val="26"/>
        </w:rPr>
        <w:tab/>
        <w:t>(</w:t>
      </w:r>
      <w:r w:rsidRPr="00C62DAA">
        <w:rPr>
          <w:sz w:val="26"/>
          <w:szCs w:val="26"/>
          <w:u w:val="single"/>
        </w:rPr>
        <w:t>Name of victim</w:t>
      </w:r>
      <w:r w:rsidRPr="00C62DAA">
        <w:rPr>
          <w:sz w:val="26"/>
          <w:szCs w:val="26"/>
        </w:rPr>
        <w:t>) did not consent to the bodily harm.</w:t>
      </w:r>
      <w:r w:rsidRPr="00C62DAA">
        <w:rPr>
          <w:sz w:val="26"/>
          <w:szCs w:val="26"/>
          <w:vertAlign w:val="superscript"/>
        </w:rPr>
        <w:t>4</w:t>
      </w:r>
    </w:p>
    <w:p w14:paraId="66412F26" w14:textId="0E65633D" w:rsidR="003D6370" w:rsidRPr="00C62DAA" w:rsidRDefault="003D6370" w:rsidP="003D6370">
      <w:pPr>
        <w:pStyle w:val="NoSpacing"/>
        <w:tabs>
          <w:tab w:val="left" w:pos="900"/>
        </w:tabs>
        <w:spacing w:line="480" w:lineRule="auto"/>
        <w:ind w:left="900" w:hanging="450"/>
        <w:jc w:val="both"/>
        <w:rPr>
          <w:sz w:val="26"/>
          <w:szCs w:val="26"/>
        </w:rPr>
      </w:pPr>
      <w:r w:rsidRPr="00C62DAA">
        <w:rPr>
          <w:sz w:val="26"/>
          <w:szCs w:val="26"/>
        </w:rPr>
        <w:t>5.</w:t>
      </w:r>
      <w:r w:rsidRPr="00C62DAA">
        <w:rPr>
          <w:sz w:val="26"/>
          <w:szCs w:val="26"/>
        </w:rPr>
        <w:tab/>
        <w:t>The defendant knew (</w:t>
      </w:r>
      <w:r w:rsidRPr="00C62DAA">
        <w:rPr>
          <w:sz w:val="26"/>
          <w:szCs w:val="26"/>
          <w:u w:val="single"/>
        </w:rPr>
        <w:t>name of victim</w:t>
      </w:r>
      <w:r w:rsidRPr="00C62DAA">
        <w:rPr>
          <w:sz w:val="26"/>
          <w:szCs w:val="26"/>
        </w:rPr>
        <w:t>) petitioned for the injunction and knew that (</w:t>
      </w:r>
      <w:r w:rsidRPr="00C62DAA">
        <w:rPr>
          <w:sz w:val="26"/>
          <w:szCs w:val="26"/>
          <w:u w:val="single"/>
        </w:rPr>
        <w:t>name of victim</w:t>
      </w:r>
      <w:r w:rsidRPr="00C62DAA">
        <w:rPr>
          <w:sz w:val="26"/>
          <w:szCs w:val="26"/>
        </w:rPr>
        <w:t>) did not consent to the causing of bodily harm.</w:t>
      </w:r>
      <w:r w:rsidRPr="00C62DAA">
        <w:rPr>
          <w:sz w:val="26"/>
          <w:szCs w:val="26"/>
          <w:vertAlign w:val="superscript"/>
        </w:rPr>
        <w:t>5</w:t>
      </w:r>
    </w:p>
    <w:p w14:paraId="6DBAAE00" w14:textId="67FF97BF" w:rsidR="003D6370" w:rsidRPr="00C62DAA" w:rsidRDefault="003D6370" w:rsidP="003D6370">
      <w:pPr>
        <w:pStyle w:val="NoSpacing"/>
        <w:spacing w:line="480" w:lineRule="auto"/>
        <w:jc w:val="center"/>
        <w:rPr>
          <w:b/>
          <w:bCs/>
          <w:sz w:val="26"/>
          <w:szCs w:val="26"/>
        </w:rPr>
      </w:pPr>
      <w:r w:rsidRPr="00C62DAA">
        <w:rPr>
          <w:b/>
          <w:bCs/>
          <w:sz w:val="26"/>
          <w:szCs w:val="26"/>
        </w:rPr>
        <w:t>Meaning of “Intentionally”</w:t>
      </w:r>
    </w:p>
    <w:p w14:paraId="2DB2371A" w14:textId="2B8ED672" w:rsidR="003D6370" w:rsidRPr="00C62DAA" w:rsidRDefault="003D6370" w:rsidP="003D6370">
      <w:pPr>
        <w:pStyle w:val="NoSpacing"/>
        <w:spacing w:line="480" w:lineRule="auto"/>
        <w:ind w:firstLine="450"/>
        <w:jc w:val="both"/>
        <w:rPr>
          <w:sz w:val="26"/>
          <w:szCs w:val="26"/>
        </w:rPr>
      </w:pPr>
      <w:r w:rsidRPr="00C62DAA">
        <w:rPr>
          <w:sz w:val="26"/>
          <w:szCs w:val="26"/>
        </w:rPr>
        <w:t>“Intentionally” means that the defendant had the mental purpose to cause bodily harm to another human being or was aware that the conduct was practically certain to cause bodily harm to another.</w:t>
      </w:r>
      <w:r w:rsidRPr="00C62DAA">
        <w:rPr>
          <w:sz w:val="26"/>
          <w:szCs w:val="26"/>
          <w:vertAlign w:val="superscript"/>
        </w:rPr>
        <w:t>6</w:t>
      </w:r>
    </w:p>
    <w:p w14:paraId="28F8B916" w14:textId="6D3FB3A2" w:rsidR="003D6370" w:rsidRPr="00C62DAA" w:rsidRDefault="003D6370" w:rsidP="003D6370">
      <w:pPr>
        <w:pStyle w:val="NoSpacing"/>
        <w:spacing w:line="480" w:lineRule="auto"/>
        <w:jc w:val="center"/>
        <w:rPr>
          <w:b/>
          <w:bCs/>
          <w:sz w:val="26"/>
          <w:szCs w:val="26"/>
        </w:rPr>
      </w:pPr>
      <w:r w:rsidRPr="00C62DAA">
        <w:rPr>
          <w:b/>
          <w:bCs/>
          <w:sz w:val="26"/>
          <w:szCs w:val="26"/>
        </w:rPr>
        <w:t>Deciding About Intent and Knowledge</w:t>
      </w:r>
    </w:p>
    <w:p w14:paraId="68E15642" w14:textId="1721F0D9" w:rsidR="003D6370" w:rsidRPr="00C62DAA" w:rsidRDefault="003D6370" w:rsidP="003D6370">
      <w:pPr>
        <w:pStyle w:val="NoSpacing"/>
        <w:spacing w:line="480" w:lineRule="auto"/>
        <w:ind w:firstLine="450"/>
        <w:jc w:val="both"/>
        <w:rPr>
          <w:sz w:val="26"/>
          <w:szCs w:val="26"/>
        </w:rPr>
      </w:pPr>
      <w:r w:rsidRPr="00C62DAA">
        <w:rPr>
          <w:sz w:val="26"/>
          <w:szCs w:val="26"/>
        </w:rPr>
        <w:t>You cannot look into a person’s mind to find intent or knowledge.</w:t>
      </w:r>
      <w:r w:rsidR="002D355F" w:rsidRPr="00C62DAA">
        <w:rPr>
          <w:sz w:val="26"/>
          <w:szCs w:val="26"/>
        </w:rPr>
        <w:t xml:space="preserve"> </w:t>
      </w:r>
      <w:r w:rsidRPr="00C62DAA">
        <w:rPr>
          <w:sz w:val="26"/>
          <w:szCs w:val="26"/>
        </w:rPr>
        <w:t>Intent and knowledge must be found, if found at all, from the defendant’s acts, words, and statements, if any, and from all the facts and circumstances in this case bearing upon intent and knowledge.</w:t>
      </w:r>
    </w:p>
    <w:p w14:paraId="27B716F1" w14:textId="16011B1B" w:rsidR="003D6370" w:rsidRPr="00C62DAA" w:rsidRDefault="003D6370" w:rsidP="003D6370">
      <w:pPr>
        <w:pStyle w:val="NoSpacing"/>
        <w:spacing w:line="480" w:lineRule="auto"/>
        <w:jc w:val="center"/>
        <w:rPr>
          <w:b/>
          <w:bCs/>
          <w:sz w:val="26"/>
          <w:szCs w:val="26"/>
        </w:rPr>
      </w:pPr>
      <w:r w:rsidRPr="00C62DAA">
        <w:rPr>
          <w:b/>
          <w:bCs/>
          <w:sz w:val="26"/>
          <w:szCs w:val="26"/>
        </w:rPr>
        <w:t>Jury’s Decision</w:t>
      </w:r>
    </w:p>
    <w:p w14:paraId="35F7E3C8" w14:textId="77777777" w:rsidR="003D6370" w:rsidRPr="00C62DAA" w:rsidRDefault="003D6370" w:rsidP="003D6370">
      <w:pPr>
        <w:pStyle w:val="NoSpacing"/>
        <w:spacing w:line="480" w:lineRule="auto"/>
        <w:ind w:firstLine="450"/>
        <w:jc w:val="both"/>
        <w:rPr>
          <w:sz w:val="26"/>
          <w:szCs w:val="26"/>
        </w:rPr>
      </w:pPr>
      <w:r w:rsidRPr="00C62DAA">
        <w:rPr>
          <w:sz w:val="26"/>
          <w:szCs w:val="26"/>
        </w:rPr>
        <w:t>If you are satisfied beyond a reasonable doubt that all five elements of this offense have been proved, you should find the defendant guilty.</w:t>
      </w:r>
    </w:p>
    <w:p w14:paraId="01EA4D65" w14:textId="77777777" w:rsidR="003D6370" w:rsidRPr="00C62DAA" w:rsidRDefault="003D6370" w:rsidP="003D6370">
      <w:pPr>
        <w:pStyle w:val="NoSpacing"/>
        <w:spacing w:line="480" w:lineRule="auto"/>
        <w:ind w:firstLine="450"/>
        <w:jc w:val="both"/>
        <w:rPr>
          <w:sz w:val="26"/>
          <w:szCs w:val="26"/>
        </w:rPr>
      </w:pPr>
      <w:r w:rsidRPr="00C62DAA">
        <w:rPr>
          <w:sz w:val="26"/>
          <w:szCs w:val="26"/>
        </w:rPr>
        <w:t>If you are not so satisfied, you must find the defendant not guilty.</w:t>
      </w:r>
    </w:p>
    <w:p w14:paraId="14A7D816" w14:textId="77777777" w:rsidR="003D6370" w:rsidRPr="00C62DAA" w:rsidRDefault="003D6370" w:rsidP="003D6370">
      <w:pPr>
        <w:pStyle w:val="NoSpacing"/>
        <w:jc w:val="both"/>
        <w:rPr>
          <w:sz w:val="26"/>
          <w:szCs w:val="26"/>
        </w:rPr>
      </w:pPr>
    </w:p>
    <w:p w14:paraId="3481A2E1" w14:textId="77777777" w:rsidR="003D6370" w:rsidRPr="00C62DAA" w:rsidRDefault="003D6370" w:rsidP="003D6370">
      <w:pPr>
        <w:pStyle w:val="NoSpacing"/>
        <w:jc w:val="both"/>
        <w:rPr>
          <w:b/>
          <w:bCs/>
          <w:sz w:val="22"/>
          <w:szCs w:val="22"/>
        </w:rPr>
      </w:pPr>
    </w:p>
    <w:p w14:paraId="37C9CB4B" w14:textId="77777777" w:rsidR="003D6370" w:rsidRPr="00C62DAA" w:rsidRDefault="003D6370" w:rsidP="003D6370">
      <w:pPr>
        <w:pStyle w:val="NoSpacing"/>
        <w:jc w:val="both"/>
        <w:rPr>
          <w:b/>
          <w:bCs/>
          <w:sz w:val="22"/>
          <w:szCs w:val="22"/>
        </w:rPr>
      </w:pPr>
    </w:p>
    <w:p w14:paraId="67D423FA" w14:textId="77777777" w:rsidR="003D6370" w:rsidRPr="00C62DAA" w:rsidRDefault="003D6370" w:rsidP="003D6370">
      <w:pPr>
        <w:pStyle w:val="NoSpacing"/>
        <w:jc w:val="both"/>
        <w:rPr>
          <w:b/>
          <w:bCs/>
          <w:sz w:val="22"/>
          <w:szCs w:val="22"/>
        </w:rPr>
      </w:pPr>
    </w:p>
    <w:p w14:paraId="061986E9" w14:textId="1AEBEC47" w:rsidR="003D6370" w:rsidRPr="00C62DAA" w:rsidRDefault="003D6370" w:rsidP="003D6370">
      <w:pPr>
        <w:pStyle w:val="NoSpacing"/>
        <w:jc w:val="both"/>
        <w:rPr>
          <w:b/>
          <w:bCs/>
          <w:sz w:val="22"/>
          <w:szCs w:val="22"/>
        </w:rPr>
      </w:pPr>
      <w:r w:rsidRPr="00C62DAA">
        <w:rPr>
          <w:b/>
          <w:bCs/>
          <w:sz w:val="22"/>
          <w:szCs w:val="22"/>
        </w:rPr>
        <w:t>COMMENT</w:t>
      </w:r>
    </w:p>
    <w:p w14:paraId="1C5944A1" w14:textId="77777777" w:rsidR="003D6370" w:rsidRPr="00C62DAA" w:rsidRDefault="003D6370" w:rsidP="003D6370">
      <w:pPr>
        <w:pStyle w:val="NoSpacing"/>
        <w:jc w:val="both"/>
        <w:rPr>
          <w:sz w:val="22"/>
          <w:szCs w:val="22"/>
        </w:rPr>
      </w:pPr>
    </w:p>
    <w:p w14:paraId="27AA9FDE" w14:textId="576E08FF" w:rsidR="003D6370" w:rsidRPr="00C62DAA" w:rsidRDefault="003D6370" w:rsidP="003D6370">
      <w:pPr>
        <w:pStyle w:val="NoSpacing"/>
        <w:ind w:firstLine="450"/>
        <w:jc w:val="both"/>
        <w:rPr>
          <w:sz w:val="22"/>
          <w:szCs w:val="22"/>
        </w:rPr>
      </w:pPr>
      <w:r w:rsidRPr="00C62DAA">
        <w:rPr>
          <w:sz w:val="22"/>
          <w:szCs w:val="22"/>
        </w:rPr>
        <w:t>Wis JI</w:t>
      </w:r>
      <w:r w:rsidRPr="00C62DAA">
        <w:rPr>
          <w:sz w:val="22"/>
          <w:szCs w:val="22"/>
        </w:rPr>
        <w:noBreakHyphen/>
        <w:t>Criminal 1229 was originally published in 1997 and revised in 2005</w:t>
      </w:r>
      <w:r w:rsidR="007207E4" w:rsidRPr="00C62DAA">
        <w:rPr>
          <w:sz w:val="22"/>
          <w:szCs w:val="22"/>
        </w:rPr>
        <w:t xml:space="preserve"> and 2016</w:t>
      </w:r>
      <w:r w:rsidRPr="00C62DAA">
        <w:rPr>
          <w:sz w:val="22"/>
          <w:szCs w:val="22"/>
        </w:rPr>
        <w:t>.</w:t>
      </w:r>
      <w:r w:rsidR="007207E4" w:rsidRPr="00C62DAA">
        <w:rPr>
          <w:sz w:val="22"/>
          <w:szCs w:val="22"/>
        </w:rPr>
        <w:t xml:space="preserve"> This revision was approved by the Committee in </w:t>
      </w:r>
      <w:r w:rsidR="009C73AA" w:rsidRPr="00C62DAA">
        <w:rPr>
          <w:sz w:val="22"/>
          <w:szCs w:val="22"/>
        </w:rPr>
        <w:t>October 2025</w:t>
      </w:r>
      <w:r w:rsidR="007207E4" w:rsidRPr="00C62DAA">
        <w:rPr>
          <w:sz w:val="22"/>
          <w:szCs w:val="22"/>
        </w:rPr>
        <w:t>. It amended the instruction to incorporate the recodification and reorganization of the battery statutes enacted by 2025 Wisconsin Act 24 (effective date: August 10, 2025.)</w:t>
      </w:r>
    </w:p>
    <w:p w14:paraId="57C3D725" w14:textId="77777777" w:rsidR="003D6370" w:rsidRPr="00C62DAA" w:rsidRDefault="003D6370" w:rsidP="003D6370">
      <w:pPr>
        <w:pStyle w:val="NoSpacing"/>
        <w:jc w:val="both"/>
        <w:rPr>
          <w:sz w:val="22"/>
          <w:szCs w:val="22"/>
        </w:rPr>
      </w:pPr>
    </w:p>
    <w:p w14:paraId="0F219BEF" w14:textId="3C0783C0" w:rsidR="003D6370" w:rsidRPr="00C62DAA" w:rsidRDefault="003D6370" w:rsidP="003D6370">
      <w:pPr>
        <w:pStyle w:val="NoSpacing"/>
        <w:ind w:firstLine="450"/>
        <w:jc w:val="both"/>
        <w:rPr>
          <w:strike/>
          <w:sz w:val="22"/>
          <w:szCs w:val="22"/>
        </w:rPr>
      </w:pPr>
      <w:r w:rsidRPr="00C62DAA">
        <w:rPr>
          <w:sz w:val="22"/>
          <w:szCs w:val="22"/>
        </w:rPr>
        <w:t xml:space="preserve">Battery by a person subject to an injunction, as defined in </w:t>
      </w:r>
      <w:r w:rsidR="00E97E2C" w:rsidRPr="00C62DAA">
        <w:rPr>
          <w:sz w:val="22"/>
          <w:szCs w:val="22"/>
        </w:rPr>
        <w:t>§ 940.61(1)</w:t>
      </w:r>
      <w:r w:rsidRPr="00C62DAA">
        <w:rPr>
          <w:sz w:val="22"/>
          <w:szCs w:val="22"/>
        </w:rPr>
        <w:t xml:space="preserve">, was created by 1995 Wisconsin Act 343. [Effective date: June 4, 1996.] </w:t>
      </w:r>
      <w:r w:rsidR="00E97E2C" w:rsidRPr="00C62DAA">
        <w:rPr>
          <w:sz w:val="22"/>
          <w:szCs w:val="22"/>
        </w:rPr>
        <w:t xml:space="preserve">§ 940.61(1) </w:t>
      </w:r>
      <w:r w:rsidRPr="00C62DAA">
        <w:rPr>
          <w:sz w:val="22"/>
          <w:szCs w:val="22"/>
        </w:rPr>
        <w:t xml:space="preserve">addresses </w:t>
      </w:r>
      <w:r w:rsidR="00E97E2C" w:rsidRPr="00C62DAA">
        <w:rPr>
          <w:sz w:val="22"/>
          <w:szCs w:val="22"/>
        </w:rPr>
        <w:t xml:space="preserve">both </w:t>
      </w:r>
      <w:r w:rsidRPr="00C62DAA">
        <w:rPr>
          <w:sz w:val="22"/>
          <w:szCs w:val="22"/>
        </w:rPr>
        <w:t xml:space="preserve">injunctions issued under § 813.12 </w:t>
      </w:r>
      <w:r w:rsidR="00706DB4">
        <w:rPr>
          <w:sz w:val="22"/>
          <w:szCs w:val="22"/>
        </w:rPr>
        <w:t xml:space="preserve">– </w:t>
      </w:r>
      <w:r w:rsidRPr="00C62DAA">
        <w:rPr>
          <w:sz w:val="22"/>
          <w:szCs w:val="22"/>
        </w:rPr>
        <w:t xml:space="preserve">domestic abuse injunctions </w:t>
      </w:r>
      <w:r w:rsidR="00706DB4">
        <w:rPr>
          <w:sz w:val="22"/>
          <w:szCs w:val="22"/>
        </w:rPr>
        <w:t xml:space="preserve">– </w:t>
      </w:r>
      <w:r w:rsidRPr="00C62DAA">
        <w:rPr>
          <w:sz w:val="22"/>
          <w:szCs w:val="22"/>
        </w:rPr>
        <w:t xml:space="preserve">and tribal court injunctions filed under § </w:t>
      </w:r>
      <w:r w:rsidR="00706DB4" w:rsidRPr="00706DB4">
        <w:rPr>
          <w:sz w:val="22"/>
          <w:szCs w:val="22"/>
        </w:rPr>
        <w:t>813.128 (3g)</w:t>
      </w:r>
      <w:r w:rsidR="00706DB4">
        <w:rPr>
          <w:sz w:val="22"/>
          <w:szCs w:val="22"/>
        </w:rPr>
        <w:t xml:space="preserve"> </w:t>
      </w:r>
      <w:r w:rsidR="00E97E2C" w:rsidRPr="00C62DAA">
        <w:rPr>
          <w:sz w:val="22"/>
          <w:szCs w:val="22"/>
        </w:rPr>
        <w:t xml:space="preserve">and </w:t>
      </w:r>
      <w:r w:rsidRPr="00C62DAA">
        <w:rPr>
          <w:sz w:val="22"/>
          <w:szCs w:val="22"/>
        </w:rPr>
        <w:t xml:space="preserve">injunctions issued under § 813.125 </w:t>
      </w:r>
      <w:r w:rsidR="00706DB4">
        <w:rPr>
          <w:sz w:val="22"/>
          <w:szCs w:val="22"/>
        </w:rPr>
        <w:t>–</w:t>
      </w:r>
      <w:r w:rsidRPr="00C62DAA">
        <w:rPr>
          <w:sz w:val="22"/>
          <w:szCs w:val="22"/>
        </w:rPr>
        <w:t xml:space="preserve"> harassment injunctions. </w:t>
      </w:r>
    </w:p>
    <w:p w14:paraId="70964CC1" w14:textId="619AF264" w:rsidR="003D6370" w:rsidRPr="00C62DAA" w:rsidRDefault="003D6370" w:rsidP="003D6370">
      <w:pPr>
        <w:pStyle w:val="NoSpacing"/>
        <w:jc w:val="both"/>
        <w:rPr>
          <w:sz w:val="22"/>
          <w:szCs w:val="22"/>
        </w:rPr>
      </w:pPr>
    </w:p>
    <w:p w14:paraId="3F1CB844" w14:textId="3380E59B" w:rsidR="003D6370" w:rsidRPr="00C62DAA" w:rsidRDefault="003D6370" w:rsidP="003D6370">
      <w:pPr>
        <w:pStyle w:val="NoSpacing"/>
        <w:numPr>
          <w:ilvl w:val="0"/>
          <w:numId w:val="1"/>
        </w:numPr>
        <w:tabs>
          <w:tab w:val="left" w:pos="900"/>
        </w:tabs>
        <w:ind w:left="0" w:firstLine="450"/>
        <w:jc w:val="both"/>
        <w:rPr>
          <w:sz w:val="22"/>
          <w:szCs w:val="22"/>
        </w:rPr>
      </w:pPr>
      <w:r w:rsidRPr="00C62DAA">
        <w:rPr>
          <w:sz w:val="22"/>
          <w:szCs w:val="22"/>
        </w:rPr>
        <w:t xml:space="preserve">While </w:t>
      </w:r>
      <w:r w:rsidR="00C37732" w:rsidRPr="00C62DAA">
        <w:rPr>
          <w:sz w:val="22"/>
          <w:szCs w:val="22"/>
        </w:rPr>
        <w:t xml:space="preserve">§ 940.61(1) </w:t>
      </w:r>
      <w:r w:rsidRPr="00C62DAA">
        <w:rPr>
          <w:sz w:val="22"/>
          <w:szCs w:val="22"/>
        </w:rPr>
        <w:t xml:space="preserve">refers to the injunction statutes by number, the Committee concluded that the instruction would be more easily understood if it used the terms </w:t>
      </w:r>
      <w:r w:rsidR="00730F7A" w:rsidRPr="00C62DAA">
        <w:rPr>
          <w:sz w:val="22"/>
          <w:szCs w:val="22"/>
        </w:rPr>
        <w:t>“</w:t>
      </w:r>
      <w:r w:rsidRPr="00C62DAA">
        <w:rPr>
          <w:sz w:val="22"/>
          <w:szCs w:val="22"/>
        </w:rPr>
        <w:t>domestic abuse injunction,</w:t>
      </w:r>
      <w:r w:rsidR="00730F7A" w:rsidRPr="00C62DAA">
        <w:rPr>
          <w:sz w:val="22"/>
          <w:szCs w:val="22"/>
        </w:rPr>
        <w:t>”</w:t>
      </w:r>
      <w:r w:rsidRPr="00C62DAA">
        <w:rPr>
          <w:sz w:val="22"/>
          <w:szCs w:val="22"/>
        </w:rPr>
        <w:t xml:space="preserve"> </w:t>
      </w:r>
      <w:r w:rsidR="00730F7A" w:rsidRPr="00C62DAA">
        <w:rPr>
          <w:sz w:val="22"/>
          <w:szCs w:val="22"/>
        </w:rPr>
        <w:t>“</w:t>
      </w:r>
      <w:r w:rsidRPr="00C62DAA">
        <w:rPr>
          <w:sz w:val="22"/>
          <w:szCs w:val="22"/>
        </w:rPr>
        <w:t>harassment injunction,</w:t>
      </w:r>
      <w:r w:rsidR="00730F7A" w:rsidRPr="00C62DAA">
        <w:rPr>
          <w:sz w:val="22"/>
          <w:szCs w:val="22"/>
        </w:rPr>
        <w:t>”</w:t>
      </w:r>
      <w:r w:rsidRPr="00C62DAA">
        <w:rPr>
          <w:sz w:val="22"/>
          <w:szCs w:val="22"/>
        </w:rPr>
        <w:t xml:space="preserve"> or </w:t>
      </w:r>
      <w:r w:rsidR="00730F7A" w:rsidRPr="00C62DAA">
        <w:rPr>
          <w:sz w:val="22"/>
          <w:szCs w:val="22"/>
        </w:rPr>
        <w:t>“</w:t>
      </w:r>
      <w:r w:rsidRPr="00C62DAA">
        <w:rPr>
          <w:sz w:val="22"/>
          <w:szCs w:val="22"/>
        </w:rPr>
        <w:t>tribal injunction filed under § </w:t>
      </w:r>
      <w:r w:rsidR="00FE5928" w:rsidRPr="00FE5928">
        <w:rPr>
          <w:sz w:val="22"/>
          <w:szCs w:val="22"/>
        </w:rPr>
        <w:t>813.128 (3g)</w:t>
      </w:r>
      <w:r w:rsidR="00730F7A" w:rsidRPr="00C62DAA">
        <w:rPr>
          <w:sz w:val="22"/>
          <w:szCs w:val="22"/>
        </w:rPr>
        <w:t>”</w:t>
      </w:r>
      <w:r w:rsidRPr="00C62DAA">
        <w:rPr>
          <w:sz w:val="22"/>
          <w:szCs w:val="22"/>
        </w:rPr>
        <w:t xml:space="preserve"> to describe the injunction.</w:t>
      </w:r>
    </w:p>
    <w:p w14:paraId="4BD5F0C7" w14:textId="77777777" w:rsidR="003D6370" w:rsidRPr="00C62DAA" w:rsidRDefault="003D6370" w:rsidP="003D6370">
      <w:pPr>
        <w:pStyle w:val="NoSpacing"/>
        <w:jc w:val="both"/>
        <w:rPr>
          <w:sz w:val="22"/>
          <w:szCs w:val="22"/>
        </w:rPr>
      </w:pPr>
    </w:p>
    <w:p w14:paraId="6982E798" w14:textId="47624162" w:rsidR="003D6370" w:rsidRPr="00C62DAA" w:rsidRDefault="003D6370" w:rsidP="003D6370">
      <w:pPr>
        <w:pStyle w:val="NoSpacing"/>
        <w:ind w:firstLine="450"/>
        <w:jc w:val="both"/>
        <w:rPr>
          <w:sz w:val="22"/>
          <w:szCs w:val="22"/>
        </w:rPr>
      </w:pPr>
      <w:r w:rsidRPr="00C62DAA">
        <w:rPr>
          <w:sz w:val="22"/>
          <w:szCs w:val="22"/>
        </w:rPr>
        <w:t xml:space="preserve">Note that child abuse injunctions under § 813.122 and vulnerable adult injunctions under § 813.123 are not covered by </w:t>
      </w:r>
      <w:r w:rsidR="00C37732" w:rsidRPr="00C62DAA">
        <w:rPr>
          <w:sz w:val="22"/>
          <w:szCs w:val="22"/>
        </w:rPr>
        <w:t>§ 940.61(1)</w:t>
      </w:r>
      <w:r w:rsidRPr="00C62DAA">
        <w:rPr>
          <w:sz w:val="22"/>
          <w:szCs w:val="22"/>
        </w:rPr>
        <w:t>.</w:t>
      </w:r>
    </w:p>
    <w:p w14:paraId="22BAF58F" w14:textId="77777777" w:rsidR="003D6370" w:rsidRPr="00C62DAA" w:rsidRDefault="003D6370" w:rsidP="003D6370">
      <w:pPr>
        <w:pStyle w:val="NoSpacing"/>
        <w:ind w:firstLine="450"/>
        <w:jc w:val="both"/>
        <w:rPr>
          <w:sz w:val="22"/>
          <w:szCs w:val="22"/>
        </w:rPr>
      </w:pPr>
    </w:p>
    <w:p w14:paraId="5DFBA23C" w14:textId="59CA1F0C" w:rsidR="003D6370" w:rsidRPr="00C62DAA" w:rsidRDefault="003D6370" w:rsidP="003D6370">
      <w:pPr>
        <w:pStyle w:val="NoSpacing"/>
        <w:numPr>
          <w:ilvl w:val="0"/>
          <w:numId w:val="1"/>
        </w:numPr>
        <w:tabs>
          <w:tab w:val="left" w:pos="900"/>
        </w:tabs>
        <w:ind w:left="0" w:firstLine="450"/>
        <w:jc w:val="both"/>
        <w:rPr>
          <w:sz w:val="22"/>
          <w:szCs w:val="22"/>
        </w:rPr>
      </w:pPr>
      <w:r w:rsidRPr="00C62DAA">
        <w:rPr>
          <w:sz w:val="22"/>
          <w:szCs w:val="22"/>
        </w:rPr>
        <w:t xml:space="preserve">The Committee concluded that the simple </w:t>
      </w:r>
      <w:r w:rsidR="00730F7A" w:rsidRPr="00C62DAA">
        <w:rPr>
          <w:sz w:val="22"/>
          <w:szCs w:val="22"/>
        </w:rPr>
        <w:t>“</w:t>
      </w:r>
      <w:r w:rsidRPr="00C62DAA">
        <w:rPr>
          <w:sz w:val="22"/>
          <w:szCs w:val="22"/>
        </w:rPr>
        <w:t>substantial factor</w:t>
      </w:r>
      <w:r w:rsidR="00730F7A" w:rsidRPr="00C62DAA">
        <w:rPr>
          <w:sz w:val="22"/>
          <w:szCs w:val="22"/>
        </w:rPr>
        <w:t>”</w:t>
      </w:r>
      <w:r w:rsidRPr="00C62DAA">
        <w:rPr>
          <w:sz w:val="22"/>
          <w:szCs w:val="22"/>
        </w:rPr>
        <w:t xml:space="preserve"> definition of cause should be sufficient for most cases. Where there is evidence of more than one possible cause, something like the following might be added:</w:t>
      </w:r>
    </w:p>
    <w:p w14:paraId="198BC6D8" w14:textId="77777777" w:rsidR="003D6370" w:rsidRPr="00C62DAA" w:rsidRDefault="003D6370" w:rsidP="003D6370">
      <w:pPr>
        <w:pStyle w:val="NoSpacing"/>
        <w:jc w:val="both"/>
        <w:rPr>
          <w:sz w:val="22"/>
          <w:szCs w:val="22"/>
        </w:rPr>
      </w:pPr>
    </w:p>
    <w:p w14:paraId="2258074A" w14:textId="1CA8B56E" w:rsidR="003D6370" w:rsidRPr="00C62DAA" w:rsidRDefault="003D6370" w:rsidP="003D6370">
      <w:pPr>
        <w:pStyle w:val="NoSpacing"/>
        <w:ind w:left="450" w:right="450"/>
        <w:jc w:val="both"/>
        <w:rPr>
          <w:sz w:val="22"/>
          <w:szCs w:val="22"/>
        </w:rPr>
      </w:pPr>
      <w:r w:rsidRPr="00C62DAA">
        <w:rPr>
          <w:sz w:val="22"/>
          <w:szCs w:val="22"/>
        </w:rPr>
        <w:t>There may be more than one cause of bodily harm. The act of one person alone might produce it, or the acts of two or more persons might jointly produce it.</w:t>
      </w:r>
    </w:p>
    <w:p w14:paraId="14DDFEDC" w14:textId="77777777" w:rsidR="003D6370" w:rsidRPr="00C62DAA" w:rsidRDefault="003D6370" w:rsidP="003D6370">
      <w:pPr>
        <w:pStyle w:val="NoSpacing"/>
        <w:ind w:left="450" w:right="450"/>
        <w:jc w:val="both"/>
        <w:rPr>
          <w:sz w:val="22"/>
          <w:szCs w:val="22"/>
        </w:rPr>
      </w:pPr>
    </w:p>
    <w:p w14:paraId="54CBABCC" w14:textId="68BECA9E" w:rsidR="003D6370" w:rsidRPr="00C62DAA" w:rsidRDefault="003D6370" w:rsidP="003D6370">
      <w:pPr>
        <w:pStyle w:val="NoSpacing"/>
        <w:numPr>
          <w:ilvl w:val="0"/>
          <w:numId w:val="1"/>
        </w:numPr>
        <w:tabs>
          <w:tab w:val="left" w:pos="900"/>
        </w:tabs>
        <w:ind w:left="0" w:firstLine="450"/>
        <w:jc w:val="both"/>
        <w:rPr>
          <w:sz w:val="22"/>
          <w:szCs w:val="22"/>
        </w:rPr>
      </w:pPr>
      <w:r w:rsidRPr="00C62DAA">
        <w:rPr>
          <w:sz w:val="22"/>
          <w:szCs w:val="22"/>
        </w:rPr>
        <w:t xml:space="preserve">This is the definition of </w:t>
      </w:r>
      <w:r w:rsidR="00730F7A" w:rsidRPr="00C62DAA">
        <w:rPr>
          <w:sz w:val="22"/>
          <w:szCs w:val="22"/>
        </w:rPr>
        <w:t>“</w:t>
      </w:r>
      <w:r w:rsidRPr="00C62DAA">
        <w:rPr>
          <w:sz w:val="22"/>
          <w:szCs w:val="22"/>
        </w:rPr>
        <w:t>bodily harm</w:t>
      </w:r>
      <w:r w:rsidR="00730F7A" w:rsidRPr="00C62DAA">
        <w:rPr>
          <w:sz w:val="22"/>
          <w:szCs w:val="22"/>
        </w:rPr>
        <w:t>”</w:t>
      </w:r>
      <w:r w:rsidRPr="00C62DAA">
        <w:rPr>
          <w:sz w:val="22"/>
          <w:szCs w:val="22"/>
        </w:rPr>
        <w:t xml:space="preserve"> provided in § 939.22(4).</w:t>
      </w:r>
    </w:p>
    <w:p w14:paraId="4853BE2D" w14:textId="77777777" w:rsidR="003D6370" w:rsidRPr="00C62DAA" w:rsidRDefault="003D6370" w:rsidP="003D6370">
      <w:pPr>
        <w:pStyle w:val="NoSpacing"/>
        <w:tabs>
          <w:tab w:val="left" w:pos="900"/>
        </w:tabs>
        <w:ind w:left="450"/>
        <w:jc w:val="both"/>
        <w:rPr>
          <w:sz w:val="22"/>
          <w:szCs w:val="22"/>
        </w:rPr>
      </w:pPr>
    </w:p>
    <w:p w14:paraId="67A2132D" w14:textId="3E7C8E47" w:rsidR="00730F7A" w:rsidRPr="00C62DAA" w:rsidRDefault="003D6370" w:rsidP="003D6370">
      <w:pPr>
        <w:pStyle w:val="NoSpacing"/>
        <w:numPr>
          <w:ilvl w:val="0"/>
          <w:numId w:val="1"/>
        </w:numPr>
        <w:tabs>
          <w:tab w:val="left" w:pos="900"/>
        </w:tabs>
        <w:ind w:left="0" w:firstLine="450"/>
        <w:jc w:val="both"/>
        <w:rPr>
          <w:sz w:val="22"/>
          <w:szCs w:val="22"/>
        </w:rPr>
      </w:pPr>
      <w:r w:rsidRPr="00C62DAA">
        <w:rPr>
          <w:sz w:val="22"/>
          <w:szCs w:val="22"/>
        </w:rPr>
        <w:t xml:space="preserve">Give additional instruction regarding the phrase </w:t>
      </w:r>
      <w:r w:rsidR="00730F7A" w:rsidRPr="00C62DAA">
        <w:rPr>
          <w:sz w:val="22"/>
          <w:szCs w:val="22"/>
        </w:rPr>
        <w:t>“</w:t>
      </w:r>
      <w:r w:rsidRPr="00C62DAA">
        <w:rPr>
          <w:sz w:val="22"/>
          <w:szCs w:val="22"/>
        </w:rPr>
        <w:t>without consent</w:t>
      </w:r>
      <w:r w:rsidR="00730F7A" w:rsidRPr="00C62DAA">
        <w:rPr>
          <w:sz w:val="22"/>
          <w:szCs w:val="22"/>
        </w:rPr>
        <w:t>”</w:t>
      </w:r>
      <w:r w:rsidRPr="00C62DAA">
        <w:rPr>
          <w:sz w:val="22"/>
          <w:szCs w:val="22"/>
        </w:rPr>
        <w:t xml:space="preserve"> when the evidence warrants it.  See § 939.22(48)(</w:t>
      </w:r>
      <w:proofErr w:type="gramStart"/>
      <w:r w:rsidR="00C62DAA" w:rsidRPr="00C62DAA">
        <w:rPr>
          <w:sz w:val="22"/>
          <w:szCs w:val="22"/>
        </w:rPr>
        <w:t>a)</w:t>
      </w:r>
      <w:r w:rsidR="00C62DAA" w:rsidRPr="00C62DAA">
        <w:rPr>
          <w:sz w:val="22"/>
          <w:szCs w:val="22"/>
        </w:rPr>
        <w:noBreakHyphen/>
      </w:r>
      <w:proofErr w:type="gramEnd"/>
      <w:r w:rsidRPr="00C62DAA">
        <w:rPr>
          <w:sz w:val="22"/>
          <w:szCs w:val="22"/>
        </w:rPr>
        <w:t>(c).</w:t>
      </w:r>
    </w:p>
    <w:p w14:paraId="674247E9" w14:textId="77777777" w:rsidR="00730F7A" w:rsidRPr="00C62DAA" w:rsidRDefault="00730F7A" w:rsidP="00730F7A">
      <w:pPr>
        <w:pStyle w:val="ListParagraph"/>
        <w:rPr>
          <w:sz w:val="22"/>
          <w:szCs w:val="22"/>
        </w:rPr>
      </w:pPr>
    </w:p>
    <w:p w14:paraId="60B68181" w14:textId="751E21FC" w:rsidR="00730F7A" w:rsidRPr="00C62DAA" w:rsidRDefault="003D6370" w:rsidP="003D6370">
      <w:pPr>
        <w:pStyle w:val="NoSpacing"/>
        <w:numPr>
          <w:ilvl w:val="0"/>
          <w:numId w:val="1"/>
        </w:numPr>
        <w:tabs>
          <w:tab w:val="left" w:pos="900"/>
        </w:tabs>
        <w:ind w:left="0" w:firstLine="450"/>
        <w:jc w:val="both"/>
        <w:rPr>
          <w:sz w:val="22"/>
          <w:szCs w:val="22"/>
        </w:rPr>
      </w:pPr>
      <w:r w:rsidRPr="00C62DAA">
        <w:rPr>
          <w:sz w:val="22"/>
          <w:szCs w:val="22"/>
        </w:rPr>
        <w:t xml:space="preserve">The knowledge element is based on the definition of </w:t>
      </w:r>
      <w:r w:rsidR="00730F7A" w:rsidRPr="00C62DAA">
        <w:rPr>
          <w:sz w:val="22"/>
          <w:szCs w:val="22"/>
        </w:rPr>
        <w:t>“</w:t>
      </w:r>
      <w:r w:rsidRPr="00C62DAA">
        <w:rPr>
          <w:sz w:val="22"/>
          <w:szCs w:val="22"/>
        </w:rPr>
        <w:t>intentionally</w:t>
      </w:r>
      <w:r w:rsidR="00730F7A" w:rsidRPr="00C62DAA">
        <w:rPr>
          <w:sz w:val="22"/>
          <w:szCs w:val="22"/>
        </w:rPr>
        <w:t>”</w:t>
      </w:r>
      <w:r w:rsidRPr="00C62DAA">
        <w:rPr>
          <w:sz w:val="22"/>
          <w:szCs w:val="22"/>
        </w:rPr>
        <w:t xml:space="preserve"> in § 939.23(3): </w:t>
      </w:r>
      <w:r w:rsidR="00730F7A" w:rsidRPr="00C62DAA">
        <w:rPr>
          <w:sz w:val="22"/>
          <w:szCs w:val="22"/>
        </w:rPr>
        <w:t>“</w:t>
      </w:r>
      <w:r w:rsidRPr="00C62DAA">
        <w:rPr>
          <w:sz w:val="22"/>
          <w:szCs w:val="22"/>
        </w:rPr>
        <w:t>. . . the actor must have knowledge of those facts which are necessary to make his conduct criminal and which are set forth after the word intentionally.</w:t>
      </w:r>
      <w:r w:rsidR="00730F7A" w:rsidRPr="00C62DAA">
        <w:rPr>
          <w:sz w:val="22"/>
          <w:szCs w:val="22"/>
        </w:rPr>
        <w:t>”</w:t>
      </w:r>
    </w:p>
    <w:p w14:paraId="59745B13" w14:textId="77777777" w:rsidR="00730F7A" w:rsidRPr="00C62DAA" w:rsidRDefault="00730F7A" w:rsidP="00730F7A">
      <w:pPr>
        <w:pStyle w:val="ListParagraph"/>
        <w:rPr>
          <w:sz w:val="22"/>
          <w:szCs w:val="22"/>
        </w:rPr>
      </w:pPr>
    </w:p>
    <w:p w14:paraId="1051C14B" w14:textId="22062497" w:rsidR="003D6370" w:rsidRPr="00C62DAA" w:rsidRDefault="003D6370" w:rsidP="003D6370">
      <w:pPr>
        <w:pStyle w:val="NoSpacing"/>
        <w:numPr>
          <w:ilvl w:val="0"/>
          <w:numId w:val="1"/>
        </w:numPr>
        <w:tabs>
          <w:tab w:val="left" w:pos="900"/>
        </w:tabs>
        <w:ind w:left="0" w:firstLine="450"/>
        <w:jc w:val="both"/>
        <w:rPr>
          <w:sz w:val="22"/>
          <w:szCs w:val="22"/>
        </w:rPr>
      </w:pPr>
      <w:r w:rsidRPr="00C62DAA">
        <w:rPr>
          <w:sz w:val="22"/>
          <w:szCs w:val="22"/>
        </w:rPr>
        <w:t>See § 939.23(4) and Wis JI</w:t>
      </w:r>
      <w:r w:rsidRPr="00C62DAA">
        <w:rPr>
          <w:sz w:val="22"/>
          <w:szCs w:val="22"/>
        </w:rPr>
        <w:noBreakHyphen/>
        <w:t>Criminal 923A and 923B.</w:t>
      </w:r>
    </w:p>
    <w:sectPr w:rsidR="003D6370" w:rsidRPr="00C62DAA" w:rsidSect="00C62DA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31C02" w14:textId="77777777" w:rsidR="003D6370" w:rsidRDefault="003D6370" w:rsidP="003D6370">
      <w:r>
        <w:separator/>
      </w:r>
    </w:p>
  </w:endnote>
  <w:endnote w:type="continuationSeparator" w:id="0">
    <w:p w14:paraId="79D3C353" w14:textId="77777777" w:rsidR="003D6370" w:rsidRDefault="003D6370" w:rsidP="003D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4C39" w14:textId="77777777" w:rsidR="003D6370" w:rsidRDefault="003D6370" w:rsidP="003D6370">
    <w:pPr>
      <w:pStyle w:val="Footer"/>
      <w:jc w:val="both"/>
      <w:rPr>
        <w:rFonts w:ascii="Arial" w:hAnsi="Arial" w:cs="Arial"/>
        <w:sz w:val="20"/>
        <w:szCs w:val="20"/>
      </w:rPr>
    </w:pPr>
  </w:p>
  <w:p w14:paraId="0885C44D" w14:textId="4EE132F0" w:rsidR="003D6370" w:rsidRPr="003D6370" w:rsidRDefault="003D6370" w:rsidP="003D6370">
    <w:pPr>
      <w:pStyle w:val="Footer"/>
      <w:jc w:val="both"/>
      <w:rPr>
        <w:rFonts w:ascii="Arial" w:hAnsi="Arial" w:cs="Arial"/>
        <w:sz w:val="20"/>
        <w:szCs w:val="20"/>
      </w:rPr>
    </w:pPr>
    <w:r w:rsidRPr="003D6370">
      <w:rPr>
        <w:rFonts w:ascii="Arial" w:hAnsi="Arial" w:cs="Arial"/>
        <w:sz w:val="20"/>
        <w:szCs w:val="20"/>
      </w:rPr>
      <w:t>Wisconsin Court System, 1</w:t>
    </w:r>
    <w:r w:rsidR="00C62DAA">
      <w:rPr>
        <w:rFonts w:ascii="Arial" w:hAnsi="Arial" w:cs="Arial"/>
        <w:sz w:val="20"/>
        <w:szCs w:val="20"/>
      </w:rPr>
      <w:t>1</w:t>
    </w:r>
    <w:r w:rsidRPr="003D6370">
      <w:rPr>
        <w:rFonts w:ascii="Arial" w:hAnsi="Arial" w:cs="Arial"/>
        <w:sz w:val="20"/>
        <w:szCs w:val="20"/>
      </w:rPr>
      <w:t>/2025</w:t>
    </w:r>
    <w:r w:rsidRPr="003D6370">
      <w:rPr>
        <w:rFonts w:ascii="Arial" w:hAnsi="Arial" w:cs="Arial"/>
        <w:sz w:val="20"/>
        <w:szCs w:val="20"/>
      </w:rPr>
      <w:tab/>
    </w:r>
    <w:r w:rsidRPr="003D6370">
      <w:rPr>
        <w:rFonts w:ascii="Arial" w:hAnsi="Arial" w:cs="Arial"/>
        <w:sz w:val="20"/>
        <w:szCs w:val="20"/>
      </w:rPr>
      <w:tab/>
      <w:t>(</w:t>
    </w:r>
    <w:r w:rsidR="00C62DAA">
      <w:rPr>
        <w:rFonts w:ascii="Arial" w:hAnsi="Arial" w:cs="Arial"/>
        <w:sz w:val="20"/>
        <w:szCs w:val="20"/>
      </w:rPr>
      <w:t>Release No. 69</w:t>
    </w:r>
    <w:r w:rsidRPr="003D6370">
      <w:rPr>
        <w:rFonts w:ascii="Arial" w:hAnsi="Arial" w:cs="Arial"/>
        <w:sz w:val="20"/>
        <w:szCs w:val="20"/>
      </w:rPr>
      <w:t>)</w:t>
    </w:r>
  </w:p>
  <w:sdt>
    <w:sdtPr>
      <w:rPr>
        <w:rFonts w:ascii="Arial" w:hAnsi="Arial" w:cs="Arial"/>
        <w:sz w:val="20"/>
        <w:szCs w:val="20"/>
      </w:rPr>
      <w:id w:val="1662043979"/>
      <w:docPartObj>
        <w:docPartGallery w:val="Page Numbers (Bottom of Page)"/>
        <w:docPartUnique/>
      </w:docPartObj>
    </w:sdtPr>
    <w:sdtEndPr>
      <w:rPr>
        <w:noProof/>
      </w:rPr>
    </w:sdtEndPr>
    <w:sdtContent>
      <w:p w14:paraId="15A03277" w14:textId="6FCF8DF4" w:rsidR="003D6370" w:rsidRPr="003D6370" w:rsidRDefault="003D6370">
        <w:pPr>
          <w:pStyle w:val="Footer"/>
          <w:jc w:val="center"/>
          <w:rPr>
            <w:rFonts w:ascii="Arial" w:hAnsi="Arial" w:cs="Arial"/>
            <w:sz w:val="20"/>
            <w:szCs w:val="20"/>
          </w:rPr>
        </w:pPr>
        <w:r w:rsidRPr="003D6370">
          <w:rPr>
            <w:rFonts w:ascii="Arial" w:hAnsi="Arial" w:cs="Arial"/>
            <w:sz w:val="20"/>
            <w:szCs w:val="20"/>
          </w:rPr>
          <w:fldChar w:fldCharType="begin"/>
        </w:r>
        <w:r w:rsidRPr="003D6370">
          <w:rPr>
            <w:rFonts w:ascii="Arial" w:hAnsi="Arial" w:cs="Arial"/>
            <w:sz w:val="20"/>
            <w:szCs w:val="20"/>
          </w:rPr>
          <w:instrText xml:space="preserve"> PAGE   \* MERGEFORMAT </w:instrText>
        </w:r>
        <w:r w:rsidRPr="003D6370">
          <w:rPr>
            <w:rFonts w:ascii="Arial" w:hAnsi="Arial" w:cs="Arial"/>
            <w:sz w:val="20"/>
            <w:szCs w:val="20"/>
          </w:rPr>
          <w:fldChar w:fldCharType="separate"/>
        </w:r>
        <w:r w:rsidRPr="003D6370">
          <w:rPr>
            <w:rFonts w:ascii="Arial" w:hAnsi="Arial" w:cs="Arial"/>
            <w:noProof/>
            <w:sz w:val="20"/>
            <w:szCs w:val="20"/>
          </w:rPr>
          <w:t>2</w:t>
        </w:r>
        <w:r w:rsidRPr="003D6370">
          <w:rPr>
            <w:rFonts w:ascii="Arial" w:hAnsi="Arial" w:cs="Arial"/>
            <w:noProof/>
            <w:sz w:val="20"/>
            <w:szCs w:val="20"/>
          </w:rPr>
          <w:fldChar w:fldCharType="end"/>
        </w:r>
      </w:p>
    </w:sdtContent>
  </w:sdt>
  <w:p w14:paraId="3BF1D40F" w14:textId="77777777" w:rsidR="003D6370" w:rsidRDefault="003D6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A3F26" w14:textId="77777777" w:rsidR="003D6370" w:rsidRDefault="003D6370" w:rsidP="003D6370">
      <w:r>
        <w:separator/>
      </w:r>
    </w:p>
  </w:footnote>
  <w:footnote w:type="continuationSeparator" w:id="0">
    <w:p w14:paraId="1166FD61" w14:textId="77777777" w:rsidR="003D6370" w:rsidRDefault="003D6370" w:rsidP="003D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66A9" w14:textId="77777777" w:rsidR="003D6370" w:rsidRDefault="003D6370" w:rsidP="003D6370">
    <w:pPr>
      <w:tabs>
        <w:tab w:val="center" w:pos="4680"/>
        <w:tab w:val="right" w:pos="9360"/>
      </w:tabs>
      <w:jc w:val="both"/>
      <w:rPr>
        <w:rFonts w:ascii="Arial" w:hAnsi="Arial" w:cs="Arial"/>
        <w:b/>
        <w:bCs/>
        <w:sz w:val="28"/>
        <w:szCs w:val="28"/>
      </w:rPr>
    </w:pPr>
  </w:p>
  <w:p w14:paraId="6610F817" w14:textId="71DF5AB3" w:rsidR="003D6370" w:rsidRDefault="003D6370" w:rsidP="003D6370">
    <w:pPr>
      <w:tabs>
        <w:tab w:val="center" w:pos="4680"/>
        <w:tab w:val="right" w:pos="9360"/>
      </w:tabs>
      <w:jc w:val="both"/>
      <w:rPr>
        <w:rFonts w:ascii="Arial" w:hAnsi="Arial" w:cs="Arial"/>
        <w:b/>
        <w:bCs/>
        <w:sz w:val="28"/>
        <w:szCs w:val="28"/>
      </w:rPr>
    </w:pPr>
    <w:r w:rsidRPr="003D6370">
      <w:rPr>
        <w:rFonts w:ascii="Arial" w:hAnsi="Arial" w:cs="Arial"/>
        <w:b/>
        <w:bCs/>
        <w:sz w:val="28"/>
        <w:szCs w:val="28"/>
      </w:rPr>
      <w:t>1229</w:t>
    </w:r>
    <w:r w:rsidRPr="003D6370">
      <w:rPr>
        <w:rFonts w:ascii="Arial" w:hAnsi="Arial" w:cs="Arial"/>
        <w:b/>
        <w:bCs/>
        <w:sz w:val="28"/>
        <w:szCs w:val="28"/>
      </w:rPr>
      <w:tab/>
      <w:t>WIS JI</w:t>
    </w:r>
    <w:r w:rsidRPr="003D6370">
      <w:rPr>
        <w:rFonts w:ascii="Arial" w:hAnsi="Arial" w:cs="Arial"/>
        <w:b/>
        <w:bCs/>
        <w:sz w:val="28"/>
        <w:szCs w:val="28"/>
      </w:rPr>
      <w:noBreakHyphen/>
      <w:t>CRIMINAL</w:t>
    </w:r>
    <w:r w:rsidRPr="003D6370">
      <w:rPr>
        <w:rFonts w:ascii="Arial" w:hAnsi="Arial" w:cs="Arial"/>
        <w:b/>
        <w:bCs/>
        <w:sz w:val="28"/>
        <w:szCs w:val="28"/>
      </w:rPr>
      <w:tab/>
      <w:t>1229</w:t>
    </w:r>
  </w:p>
  <w:p w14:paraId="6F3E9C52" w14:textId="4FFFEB5A" w:rsidR="003D6370" w:rsidRDefault="003D6370" w:rsidP="003D6370">
    <w:pPr>
      <w:tabs>
        <w:tab w:val="center" w:pos="4680"/>
        <w:tab w:val="right" w:pos="9360"/>
      </w:tabs>
      <w:jc w:val="both"/>
      <w:rPr>
        <w:rFonts w:ascii="Arial" w:hAnsi="Arial" w:cs="Arial"/>
        <w:b/>
        <w:bCs/>
        <w:sz w:val="28"/>
        <w:szCs w:val="28"/>
      </w:rPr>
    </w:pPr>
  </w:p>
  <w:p w14:paraId="27F4B563" w14:textId="77777777" w:rsidR="003D6370" w:rsidRPr="003D6370" w:rsidRDefault="003D6370" w:rsidP="003D6370">
    <w:pPr>
      <w:tabs>
        <w:tab w:val="center" w:pos="4680"/>
        <w:tab w:val="right" w:pos="9360"/>
      </w:tabs>
      <w:jc w:val="both"/>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FD30B9"/>
    <w:multiLevelType w:val="hybridMultilevel"/>
    <w:tmpl w:val="4CA47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70"/>
    <w:rsid w:val="001919B0"/>
    <w:rsid w:val="002D355F"/>
    <w:rsid w:val="003D6370"/>
    <w:rsid w:val="00610D46"/>
    <w:rsid w:val="006E5C2B"/>
    <w:rsid w:val="00706DB4"/>
    <w:rsid w:val="007207E4"/>
    <w:rsid w:val="00730F7A"/>
    <w:rsid w:val="00774973"/>
    <w:rsid w:val="007A10EB"/>
    <w:rsid w:val="009C73AA"/>
    <w:rsid w:val="00C02DC0"/>
    <w:rsid w:val="00C052B1"/>
    <w:rsid w:val="00C37732"/>
    <w:rsid w:val="00C62DAA"/>
    <w:rsid w:val="00E97E2C"/>
    <w:rsid w:val="00FE5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3AC6F"/>
  <w15:chartTrackingRefBased/>
  <w15:docId w15:val="{1BB2EFA5-7A98-4C3D-948A-B5FDB94DF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37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370"/>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D6370"/>
  </w:style>
  <w:style w:type="paragraph" w:styleId="Footer">
    <w:name w:val="footer"/>
    <w:basedOn w:val="Normal"/>
    <w:link w:val="FooterChar"/>
    <w:uiPriority w:val="99"/>
    <w:unhideWhenUsed/>
    <w:rsid w:val="003D6370"/>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D6370"/>
  </w:style>
  <w:style w:type="character" w:styleId="LineNumber">
    <w:name w:val="line number"/>
    <w:basedOn w:val="DefaultParagraphFont"/>
    <w:uiPriority w:val="99"/>
    <w:semiHidden/>
    <w:unhideWhenUsed/>
    <w:rsid w:val="003D6370"/>
  </w:style>
  <w:style w:type="paragraph" w:styleId="NoSpacing">
    <w:name w:val="No Spacing"/>
    <w:uiPriority w:val="1"/>
    <w:qFormat/>
    <w:rsid w:val="003D637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FootnoteReference">
    <w:name w:val="footnote reference"/>
    <w:uiPriority w:val="99"/>
    <w:rsid w:val="003D6370"/>
  </w:style>
  <w:style w:type="paragraph" w:styleId="ListParagraph">
    <w:name w:val="List Paragraph"/>
    <w:basedOn w:val="Normal"/>
    <w:uiPriority w:val="34"/>
    <w:qFormat/>
    <w:rsid w:val="00730F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Wisconsin Supreme Court</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2</cp:revision>
  <dcterms:created xsi:type="dcterms:W3CDTF">2025-11-11T17:26:00Z</dcterms:created>
  <dcterms:modified xsi:type="dcterms:W3CDTF">2025-11-11T17:26:00Z</dcterms:modified>
</cp:coreProperties>
</file>