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B0A83" w14:textId="77777777" w:rsidR="00F57B81" w:rsidRPr="001F7E9D" w:rsidRDefault="00F57B81" w:rsidP="00F57B81">
      <w:pPr>
        <w:pStyle w:val="NoSpacing"/>
        <w:tabs>
          <w:tab w:val="left" w:pos="1080"/>
        </w:tabs>
        <w:ind w:left="1080" w:hanging="1080"/>
        <w:jc w:val="both"/>
        <w:rPr>
          <w:rFonts w:ascii="Times New Roman" w:hAnsi="Times New Roman" w:cs="Times New Roman"/>
          <w:b/>
          <w:bCs/>
          <w:sz w:val="26"/>
          <w:szCs w:val="26"/>
        </w:rPr>
      </w:pPr>
      <w:r w:rsidRPr="001F7E9D">
        <w:rPr>
          <w:rFonts w:ascii="Times New Roman" w:hAnsi="Times New Roman" w:cs="Times New Roman"/>
          <w:b/>
          <w:bCs/>
          <w:sz w:val="26"/>
          <w:szCs w:val="26"/>
        </w:rPr>
        <w:t xml:space="preserve">1232B </w:t>
      </w:r>
      <w:r>
        <w:rPr>
          <w:rFonts w:ascii="Times New Roman" w:hAnsi="Times New Roman" w:cs="Times New Roman"/>
          <w:b/>
          <w:bCs/>
          <w:sz w:val="26"/>
          <w:szCs w:val="26"/>
        </w:rPr>
        <w:tab/>
      </w:r>
      <w:r w:rsidRPr="001F7E9D">
        <w:rPr>
          <w:rFonts w:ascii="Times New Roman" w:hAnsi="Times New Roman" w:cs="Times New Roman"/>
          <w:b/>
          <w:bCs/>
          <w:sz w:val="26"/>
          <w:szCs w:val="26"/>
        </w:rPr>
        <w:t>THREAT TO A JUROR OR A FAMILY MEMBER OF A JUROR — § 947.016(1)</w:t>
      </w:r>
    </w:p>
    <w:p w14:paraId="5F6EE4DB" w14:textId="18853890" w:rsidR="00F57B81" w:rsidRPr="001F7E9D" w:rsidRDefault="00F57B81" w:rsidP="00F57B81">
      <w:pPr>
        <w:pStyle w:val="NoSpacing"/>
        <w:jc w:val="both"/>
        <w:rPr>
          <w:rFonts w:ascii="Times New Roman" w:hAnsi="Times New Roman" w:cs="Times New Roman"/>
          <w:sz w:val="26"/>
          <w:szCs w:val="26"/>
        </w:rPr>
      </w:pPr>
    </w:p>
    <w:p w14:paraId="3C4E932E" w14:textId="77777777" w:rsidR="00F57B81" w:rsidRPr="001F7E9D" w:rsidRDefault="00F57B81" w:rsidP="00F57B81">
      <w:pPr>
        <w:pStyle w:val="NoSpacing"/>
        <w:jc w:val="both"/>
        <w:rPr>
          <w:rFonts w:ascii="Times New Roman" w:hAnsi="Times New Roman" w:cs="Times New Roman"/>
          <w:sz w:val="26"/>
          <w:szCs w:val="26"/>
        </w:rPr>
      </w:pPr>
    </w:p>
    <w:p w14:paraId="2D711B96" w14:textId="77777777" w:rsidR="00F57B81" w:rsidRPr="0006075C" w:rsidRDefault="00F57B81" w:rsidP="00F57B81">
      <w:pPr>
        <w:pStyle w:val="NoSpacing"/>
        <w:spacing w:line="480" w:lineRule="auto"/>
        <w:jc w:val="center"/>
        <w:rPr>
          <w:rFonts w:ascii="Times New Roman" w:hAnsi="Times New Roman" w:cs="Times New Roman"/>
          <w:b/>
          <w:bCs/>
          <w:sz w:val="26"/>
          <w:szCs w:val="26"/>
        </w:rPr>
      </w:pPr>
      <w:r w:rsidRPr="0006075C">
        <w:rPr>
          <w:rFonts w:ascii="Times New Roman" w:hAnsi="Times New Roman" w:cs="Times New Roman"/>
          <w:b/>
          <w:bCs/>
          <w:sz w:val="26"/>
          <w:szCs w:val="26"/>
        </w:rPr>
        <w:t>Statutory Definition of the Crime</w:t>
      </w:r>
    </w:p>
    <w:p w14:paraId="673C1518" w14:textId="2CE9C95A" w:rsidR="00F57B81" w:rsidRPr="0006075C" w:rsidRDefault="00F57B81" w:rsidP="00F57B81">
      <w:pPr>
        <w:pStyle w:val="NoSpacing"/>
        <w:spacing w:line="480" w:lineRule="auto"/>
        <w:ind w:firstLine="450"/>
        <w:jc w:val="both"/>
        <w:rPr>
          <w:rFonts w:ascii="Times New Roman" w:hAnsi="Times New Roman" w:cs="Times New Roman"/>
          <w:sz w:val="26"/>
          <w:szCs w:val="26"/>
        </w:rPr>
      </w:pPr>
      <w:r w:rsidRPr="0006075C">
        <w:rPr>
          <w:rFonts w:ascii="Times New Roman" w:hAnsi="Times New Roman" w:cs="Times New Roman"/>
          <w:sz w:val="26"/>
          <w:szCs w:val="26"/>
        </w:rPr>
        <w:t>Section 947.016(1) of the Criminal Code of Wisconsin is violated by one who threatens to cause bodily harm to (the person) (a family member) of a current or former juror</w:t>
      </w:r>
      <w:r w:rsidRPr="0006075C">
        <w:rPr>
          <w:rStyle w:val="EndnoteReference"/>
          <w:rFonts w:ascii="Times New Roman" w:hAnsi="Times New Roman" w:cs="Times New Roman"/>
          <w:sz w:val="26"/>
          <w:szCs w:val="26"/>
        </w:rPr>
        <w:endnoteReference w:id="1"/>
      </w:r>
      <w:r w:rsidRPr="0006075C">
        <w:rPr>
          <w:rFonts w:ascii="Times New Roman" w:hAnsi="Times New Roman" w:cs="Times New Roman"/>
          <w:sz w:val="26"/>
          <w:szCs w:val="26"/>
        </w:rPr>
        <w:t>, where at the time of the threat the defendant knows that the victim is a (current or former juror) (a family member of a current or former juror), the threat is because of or in response to any action taken in (an official capacity) (a legal proceeding), and the threat is made without the consent of the person threatened.</w:t>
      </w:r>
    </w:p>
    <w:p w14:paraId="07021E20" w14:textId="77777777" w:rsidR="00F57B81" w:rsidRPr="0006075C" w:rsidRDefault="00F57B81" w:rsidP="00F57B81">
      <w:pPr>
        <w:pStyle w:val="NoSpacing"/>
        <w:spacing w:line="480" w:lineRule="auto"/>
        <w:jc w:val="center"/>
        <w:rPr>
          <w:rFonts w:ascii="Times New Roman" w:hAnsi="Times New Roman" w:cs="Times New Roman"/>
          <w:b/>
          <w:bCs/>
          <w:sz w:val="26"/>
          <w:szCs w:val="26"/>
        </w:rPr>
      </w:pPr>
      <w:r w:rsidRPr="0006075C">
        <w:rPr>
          <w:rFonts w:ascii="Times New Roman" w:hAnsi="Times New Roman" w:cs="Times New Roman"/>
          <w:b/>
          <w:bCs/>
          <w:sz w:val="26"/>
          <w:szCs w:val="26"/>
        </w:rPr>
        <w:t>State’s Burden of Proof</w:t>
      </w:r>
    </w:p>
    <w:p w14:paraId="774A7462" w14:textId="779AA002" w:rsidR="00F57B81" w:rsidRPr="0006075C" w:rsidRDefault="00F57B81" w:rsidP="00F57B81">
      <w:pPr>
        <w:pStyle w:val="NoSpacing"/>
        <w:spacing w:line="480" w:lineRule="auto"/>
        <w:ind w:firstLine="450"/>
        <w:jc w:val="both"/>
        <w:rPr>
          <w:rFonts w:ascii="Times New Roman" w:hAnsi="Times New Roman" w:cs="Times New Roman"/>
          <w:sz w:val="26"/>
          <w:szCs w:val="26"/>
        </w:rPr>
      </w:pPr>
      <w:r w:rsidRPr="0006075C">
        <w:rPr>
          <w:rFonts w:ascii="Times New Roman" w:hAnsi="Times New Roman" w:cs="Times New Roman"/>
          <w:sz w:val="26"/>
          <w:szCs w:val="26"/>
        </w:rPr>
        <w:t xml:space="preserve">Before you may find the defendant guilty of this offense, the State must prove by evidence that satisfies you beyond a reasonable doubt that the following </w:t>
      </w:r>
      <w:r w:rsidR="00060139" w:rsidRPr="0006075C">
        <w:rPr>
          <w:rFonts w:ascii="Times New Roman" w:hAnsi="Times New Roman" w:cs="Times New Roman"/>
          <w:sz w:val="26"/>
          <w:szCs w:val="26"/>
        </w:rPr>
        <w:t>six</w:t>
      </w:r>
      <w:r w:rsidRPr="0006075C">
        <w:rPr>
          <w:rFonts w:ascii="Times New Roman" w:hAnsi="Times New Roman" w:cs="Times New Roman"/>
          <w:sz w:val="26"/>
          <w:szCs w:val="26"/>
        </w:rPr>
        <w:t xml:space="preserve"> elements were present.</w:t>
      </w:r>
    </w:p>
    <w:p w14:paraId="7E5FCDBB" w14:textId="77777777" w:rsidR="00F57B81" w:rsidRPr="0006075C" w:rsidRDefault="00F57B81" w:rsidP="00F57B81">
      <w:pPr>
        <w:pStyle w:val="NoSpacing"/>
        <w:spacing w:line="480" w:lineRule="auto"/>
        <w:jc w:val="center"/>
        <w:rPr>
          <w:rFonts w:ascii="Times New Roman" w:hAnsi="Times New Roman" w:cs="Times New Roman"/>
          <w:b/>
          <w:bCs/>
          <w:sz w:val="26"/>
          <w:szCs w:val="26"/>
        </w:rPr>
      </w:pPr>
      <w:r w:rsidRPr="0006075C">
        <w:rPr>
          <w:rFonts w:ascii="Times New Roman" w:hAnsi="Times New Roman" w:cs="Times New Roman"/>
          <w:b/>
          <w:bCs/>
          <w:sz w:val="26"/>
          <w:szCs w:val="26"/>
        </w:rPr>
        <w:t>Elements of the Crime That the State Must Prove</w:t>
      </w:r>
    </w:p>
    <w:p w14:paraId="1B2F5548" w14:textId="354C3A0B" w:rsidR="00F57B81" w:rsidRPr="0006075C" w:rsidRDefault="00F57B81" w:rsidP="00F57B81">
      <w:pPr>
        <w:pStyle w:val="NoSpacing"/>
        <w:numPr>
          <w:ilvl w:val="0"/>
          <w:numId w:val="1"/>
        </w:numPr>
        <w:tabs>
          <w:tab w:val="left" w:pos="900"/>
        </w:tabs>
        <w:spacing w:line="480" w:lineRule="auto"/>
        <w:jc w:val="both"/>
        <w:rPr>
          <w:rFonts w:ascii="Times New Roman" w:hAnsi="Times New Roman" w:cs="Times New Roman"/>
          <w:sz w:val="26"/>
          <w:szCs w:val="26"/>
        </w:rPr>
      </w:pPr>
      <w:r w:rsidRPr="0006075C">
        <w:rPr>
          <w:rFonts w:ascii="Times New Roman" w:hAnsi="Times New Roman" w:cs="Times New Roman"/>
          <w:sz w:val="26"/>
          <w:szCs w:val="26"/>
        </w:rPr>
        <w:t>(</w:t>
      </w:r>
      <w:r w:rsidRPr="0006075C">
        <w:rPr>
          <w:rFonts w:ascii="Times New Roman" w:hAnsi="Times New Roman" w:cs="Times New Roman"/>
          <w:sz w:val="26"/>
          <w:szCs w:val="26"/>
          <w:u w:val="single"/>
        </w:rPr>
        <w:t>Name of victim</w:t>
      </w:r>
      <w:r w:rsidRPr="0006075C">
        <w:rPr>
          <w:rFonts w:ascii="Times New Roman" w:hAnsi="Times New Roman" w:cs="Times New Roman"/>
          <w:sz w:val="26"/>
          <w:szCs w:val="26"/>
        </w:rPr>
        <w:t>) was a (current or former juror) (family member of a current or former juror).</w:t>
      </w:r>
    </w:p>
    <w:p w14:paraId="01E769BA" w14:textId="18347442" w:rsidR="00F57B81" w:rsidRPr="0006075C" w:rsidRDefault="00F57B81" w:rsidP="00F57B81">
      <w:pPr>
        <w:pStyle w:val="NoSpacing"/>
        <w:numPr>
          <w:ilvl w:val="0"/>
          <w:numId w:val="1"/>
        </w:numPr>
        <w:tabs>
          <w:tab w:val="left" w:pos="900"/>
        </w:tabs>
        <w:spacing w:line="480" w:lineRule="auto"/>
        <w:jc w:val="both"/>
        <w:rPr>
          <w:rFonts w:ascii="Times New Roman" w:hAnsi="Times New Roman" w:cs="Times New Roman"/>
          <w:sz w:val="26"/>
          <w:szCs w:val="26"/>
        </w:rPr>
      </w:pPr>
      <w:r w:rsidRPr="0006075C">
        <w:rPr>
          <w:rFonts w:ascii="Times New Roman" w:hAnsi="Times New Roman" w:cs="Times New Roman"/>
          <w:sz w:val="26"/>
          <w:szCs w:val="26"/>
        </w:rPr>
        <w:t>The defendant knew</w:t>
      </w:r>
      <w:r w:rsidRPr="0006075C">
        <w:rPr>
          <w:rStyle w:val="EndnoteReference"/>
          <w:rFonts w:ascii="Times New Roman" w:hAnsi="Times New Roman" w:cs="Times New Roman"/>
          <w:sz w:val="26"/>
          <w:szCs w:val="26"/>
        </w:rPr>
        <w:endnoteReference w:id="2"/>
      </w:r>
      <w:r w:rsidRPr="0006075C">
        <w:rPr>
          <w:rFonts w:ascii="Times New Roman" w:hAnsi="Times New Roman" w:cs="Times New Roman"/>
          <w:sz w:val="26"/>
          <w:szCs w:val="26"/>
        </w:rPr>
        <w:t xml:space="preserve"> that (</w:t>
      </w:r>
      <w:r w:rsidRPr="0006075C">
        <w:rPr>
          <w:rFonts w:ascii="Times New Roman" w:hAnsi="Times New Roman" w:cs="Times New Roman"/>
          <w:sz w:val="26"/>
          <w:szCs w:val="26"/>
          <w:u w:val="single"/>
        </w:rPr>
        <w:t>name of victim</w:t>
      </w:r>
      <w:r w:rsidRPr="0006075C">
        <w:rPr>
          <w:rFonts w:ascii="Times New Roman" w:hAnsi="Times New Roman" w:cs="Times New Roman"/>
          <w:sz w:val="26"/>
          <w:szCs w:val="26"/>
        </w:rPr>
        <w:t>) was a (current or former juror) (family member of a current or former juror).</w:t>
      </w:r>
    </w:p>
    <w:p w14:paraId="0D1AD75B" w14:textId="28B3F5B9" w:rsidR="00F57B81" w:rsidRPr="0006075C" w:rsidRDefault="00F57B81" w:rsidP="0006075C">
      <w:pPr>
        <w:pStyle w:val="NoSpacing"/>
        <w:numPr>
          <w:ilvl w:val="0"/>
          <w:numId w:val="1"/>
        </w:numPr>
        <w:tabs>
          <w:tab w:val="left" w:pos="900"/>
        </w:tabs>
        <w:spacing w:line="480" w:lineRule="auto"/>
        <w:jc w:val="both"/>
        <w:rPr>
          <w:rFonts w:ascii="Times New Roman" w:hAnsi="Times New Roman" w:cs="Times New Roman"/>
          <w:sz w:val="26"/>
          <w:szCs w:val="26"/>
        </w:rPr>
      </w:pPr>
      <w:r w:rsidRPr="0006075C">
        <w:rPr>
          <w:rFonts w:ascii="Times New Roman" w:hAnsi="Times New Roman" w:cs="Times New Roman"/>
          <w:sz w:val="26"/>
          <w:szCs w:val="26"/>
        </w:rPr>
        <w:t>The defendant threatened to cause bodily harm to (</w:t>
      </w:r>
      <w:r w:rsidRPr="0006075C">
        <w:rPr>
          <w:rFonts w:ascii="Times New Roman" w:hAnsi="Times New Roman" w:cs="Times New Roman"/>
          <w:sz w:val="26"/>
          <w:szCs w:val="26"/>
          <w:u w:val="single"/>
        </w:rPr>
        <w:t>name of victim</w:t>
      </w:r>
      <w:r w:rsidRPr="0006075C">
        <w:rPr>
          <w:rFonts w:ascii="Times New Roman" w:hAnsi="Times New Roman" w:cs="Times New Roman"/>
          <w:sz w:val="26"/>
          <w:szCs w:val="26"/>
        </w:rPr>
        <w:t>).</w:t>
      </w:r>
    </w:p>
    <w:p w14:paraId="4F8CE13C" w14:textId="7483B784" w:rsidR="00F57B81" w:rsidRPr="0006075C" w:rsidRDefault="00F57B81" w:rsidP="00A71FA1">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06075C">
        <w:rPr>
          <w:rFonts w:ascii="Times New Roman" w:eastAsia="Times New Roman" w:hAnsi="Times New Roman" w:cs="Times New Roman"/>
          <w:sz w:val="26"/>
          <w:szCs w:val="26"/>
        </w:rPr>
        <w:t xml:space="preserve">A threat </w:t>
      </w:r>
      <w:r w:rsidR="00A71FA1" w:rsidRPr="0006075C">
        <w:rPr>
          <w:rFonts w:ascii="Times New Roman" w:eastAsia="Times New Roman" w:hAnsi="Times New Roman" w:cs="Times New Roman"/>
          <w:sz w:val="26"/>
          <w:szCs w:val="26"/>
        </w:rPr>
        <w:t xml:space="preserve">requires a true threat. </w:t>
      </w:r>
      <w:r w:rsidRPr="0006075C">
        <w:rPr>
          <w:rFonts w:ascii="Times New Roman" w:eastAsia="Times New Roman" w:hAnsi="Times New Roman" w:cs="Times New Roman"/>
          <w:sz w:val="26"/>
          <w:szCs w:val="26"/>
        </w:rPr>
        <w:t xml:space="preserve">It may be communicated orally, in writing, or </w:t>
      </w:r>
      <w:r w:rsidRPr="0006075C">
        <w:rPr>
          <w:rFonts w:ascii="Times New Roman" w:eastAsia="Times New Roman" w:hAnsi="Times New Roman" w:cs="Times New Roman"/>
          <w:sz w:val="26"/>
          <w:szCs w:val="26"/>
        </w:rPr>
        <w:lastRenderedPageBreak/>
        <w:t>by conduct. “True threat” means that a reasonable person would interpret the threat as a serious expression that the speaker will inflict imminent or future bodily harm. It must convey a real possibility that bodily harm will follow.</w:t>
      </w:r>
      <w:r w:rsidRPr="0006075C">
        <w:rPr>
          <w:rFonts w:ascii="Times New Roman" w:eastAsia="Times New Roman" w:hAnsi="Times New Roman" w:cs="Times New Roman"/>
          <w:sz w:val="26"/>
          <w:szCs w:val="26"/>
          <w:vertAlign w:val="superscript"/>
        </w:rPr>
        <w:endnoteReference w:id="3"/>
      </w:r>
      <w:r w:rsidRPr="0006075C">
        <w:rPr>
          <w:rFonts w:ascii="Times New Roman" w:eastAsia="Times New Roman" w:hAnsi="Times New Roman" w:cs="Times New Roman"/>
          <w:sz w:val="26"/>
          <w:szCs w:val="26"/>
        </w:rPr>
        <w:t xml:space="preserve"> It is not necessary that the person making the threat have the ability to carry out the threat. You must consider all the circumstances in determining whether a threat is a true threat.</w:t>
      </w:r>
      <w:r w:rsidR="00D1295F" w:rsidRPr="0006075C">
        <w:rPr>
          <w:rStyle w:val="EndnoteReference"/>
          <w:rFonts w:ascii="Times New Roman" w:eastAsia="Times New Roman" w:hAnsi="Times New Roman" w:cs="Times New Roman"/>
          <w:sz w:val="26"/>
          <w:szCs w:val="26"/>
        </w:rPr>
        <w:endnoteReference w:id="4"/>
      </w:r>
    </w:p>
    <w:p w14:paraId="35F3D988" w14:textId="485A0C1B" w:rsidR="00F57B81" w:rsidRPr="0006075C" w:rsidRDefault="00F57B81" w:rsidP="00D1295F">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06075C">
        <w:rPr>
          <w:rFonts w:ascii="Times New Roman" w:eastAsia="Times New Roman" w:hAnsi="Times New Roman" w:cs="Times New Roman"/>
          <w:sz w:val="26"/>
          <w:szCs w:val="26"/>
        </w:rPr>
        <w:t>“Bodily harm” means physical pain or injury, illness, or any impairment of physical condition.</w:t>
      </w:r>
      <w:r w:rsidR="00D1295F" w:rsidRPr="0006075C">
        <w:rPr>
          <w:rStyle w:val="EndnoteReference"/>
          <w:rFonts w:ascii="Times New Roman" w:eastAsia="Times New Roman" w:hAnsi="Times New Roman" w:cs="Times New Roman"/>
          <w:sz w:val="26"/>
          <w:szCs w:val="26"/>
        </w:rPr>
        <w:endnoteReference w:id="5"/>
      </w:r>
    </w:p>
    <w:p w14:paraId="7ED7CD65" w14:textId="06BEEC82" w:rsidR="006A5265" w:rsidRPr="0006075C" w:rsidRDefault="00D1295F" w:rsidP="0006075C">
      <w:pPr>
        <w:pStyle w:val="NoSpacing"/>
        <w:numPr>
          <w:ilvl w:val="0"/>
          <w:numId w:val="1"/>
        </w:numPr>
        <w:tabs>
          <w:tab w:val="left" w:pos="900"/>
        </w:tabs>
        <w:spacing w:line="480" w:lineRule="auto"/>
        <w:jc w:val="both"/>
        <w:rPr>
          <w:rFonts w:ascii="Times New Roman" w:hAnsi="Times New Roman" w:cs="Times New Roman"/>
          <w:sz w:val="26"/>
          <w:szCs w:val="26"/>
        </w:rPr>
      </w:pPr>
      <w:r w:rsidRPr="0006075C">
        <w:rPr>
          <w:rFonts w:ascii="Times New Roman" w:hAnsi="Times New Roman" w:cs="Times New Roman"/>
          <w:sz w:val="26"/>
          <w:szCs w:val="26"/>
        </w:rPr>
        <w:t>The defendant threatened to cause bodily harm to (</w:t>
      </w:r>
      <w:r w:rsidRPr="0006075C">
        <w:rPr>
          <w:rFonts w:ascii="Times New Roman" w:hAnsi="Times New Roman" w:cs="Times New Roman"/>
          <w:sz w:val="26"/>
          <w:szCs w:val="26"/>
          <w:u w:val="single"/>
        </w:rPr>
        <w:t>name of victim</w:t>
      </w:r>
      <w:r w:rsidRPr="0006075C">
        <w:rPr>
          <w:rFonts w:ascii="Times New Roman" w:hAnsi="Times New Roman" w:cs="Times New Roman"/>
          <w:sz w:val="26"/>
          <w:szCs w:val="26"/>
        </w:rPr>
        <w:t>) because of or in response to an action taken in (an official capacity) (a legal proceeding) by (</w:t>
      </w:r>
      <w:r w:rsidRPr="0006075C">
        <w:rPr>
          <w:rFonts w:ascii="Times New Roman" w:hAnsi="Times New Roman" w:cs="Times New Roman"/>
          <w:sz w:val="26"/>
          <w:szCs w:val="26"/>
          <w:u w:val="single"/>
        </w:rPr>
        <w:t>name of juror</w:t>
      </w:r>
      <w:r w:rsidRPr="0006075C">
        <w:rPr>
          <w:rFonts w:ascii="Times New Roman" w:hAnsi="Times New Roman" w:cs="Times New Roman"/>
          <w:sz w:val="26"/>
          <w:szCs w:val="26"/>
        </w:rPr>
        <w:t>) as a juror.</w:t>
      </w:r>
      <w:r w:rsidRPr="0006075C">
        <w:rPr>
          <w:rStyle w:val="EndnoteReference"/>
          <w:rFonts w:ascii="Times New Roman" w:hAnsi="Times New Roman" w:cs="Times New Roman"/>
          <w:sz w:val="26"/>
          <w:szCs w:val="26"/>
        </w:rPr>
        <w:endnoteReference w:id="6"/>
      </w:r>
    </w:p>
    <w:p w14:paraId="0F6E7DBF" w14:textId="14AFD612" w:rsidR="002474C1" w:rsidRPr="0006075C" w:rsidRDefault="00D1295F" w:rsidP="002474C1">
      <w:pPr>
        <w:pStyle w:val="ListParagraph"/>
        <w:widowControl w:val="0"/>
        <w:numPr>
          <w:ilvl w:val="0"/>
          <w:numId w:val="1"/>
        </w:numPr>
        <w:tabs>
          <w:tab w:val="left" w:pos="900"/>
        </w:tabs>
        <w:autoSpaceDE w:val="0"/>
        <w:autoSpaceDN w:val="0"/>
        <w:adjustRightInd w:val="0"/>
        <w:spacing w:after="0" w:line="480" w:lineRule="auto"/>
        <w:jc w:val="both"/>
        <w:rPr>
          <w:rFonts w:ascii="Times New Roman" w:eastAsia="Times New Roman" w:hAnsi="Times New Roman" w:cs="Times New Roman"/>
          <w:sz w:val="26"/>
          <w:szCs w:val="26"/>
        </w:rPr>
      </w:pPr>
      <w:r w:rsidRPr="0006075C">
        <w:rPr>
          <w:rFonts w:ascii="Times New Roman" w:eastAsia="Times New Roman" w:hAnsi="Times New Roman" w:cs="Times New Roman"/>
          <w:sz w:val="26"/>
          <w:szCs w:val="26"/>
        </w:rPr>
        <w:t>The defendant consciously disregarded</w:t>
      </w:r>
      <w:r w:rsidR="00D926EA" w:rsidRPr="0006075C">
        <w:rPr>
          <w:rStyle w:val="EndnoteReference"/>
          <w:rFonts w:ascii="Times New Roman" w:eastAsia="Times New Roman" w:hAnsi="Times New Roman" w:cs="Times New Roman"/>
          <w:sz w:val="26"/>
          <w:szCs w:val="26"/>
        </w:rPr>
        <w:endnoteReference w:id="7"/>
      </w:r>
      <w:r w:rsidRPr="0006075C">
        <w:rPr>
          <w:rFonts w:ascii="Times New Roman" w:eastAsia="Times New Roman" w:hAnsi="Times New Roman" w:cs="Times New Roman"/>
          <w:sz w:val="26"/>
          <w:szCs w:val="26"/>
        </w:rPr>
        <w:t xml:space="preserve"> a substantial risk that others would view the statement as a true threat to cause bodily harm.</w:t>
      </w:r>
    </w:p>
    <w:p w14:paraId="6A5E06E7" w14:textId="1E780152" w:rsidR="002474C1" w:rsidRPr="0006075C" w:rsidRDefault="002474C1" w:rsidP="002474C1">
      <w:pPr>
        <w:pStyle w:val="ListParagraph"/>
        <w:widowControl w:val="0"/>
        <w:tabs>
          <w:tab w:val="left" w:pos="900"/>
        </w:tabs>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06075C">
        <w:rPr>
          <w:rFonts w:ascii="Times New Roman" w:eastAsia="Times New Roman" w:hAnsi="Times New Roman" w:cs="Times New Roman"/>
          <w:sz w:val="26"/>
          <w:szCs w:val="26"/>
        </w:rPr>
        <w:t>[This means the defendant is aware that others could regard the statement(s) as threatening violence and delivers (it) (them) anyway.]</w:t>
      </w:r>
      <w:r w:rsidRPr="0006075C">
        <w:rPr>
          <w:rStyle w:val="EndnoteReference"/>
          <w:rFonts w:ascii="Times New Roman" w:eastAsia="Times New Roman" w:hAnsi="Times New Roman" w:cs="Times New Roman"/>
          <w:sz w:val="26"/>
          <w:szCs w:val="26"/>
        </w:rPr>
        <w:endnoteReference w:id="8"/>
      </w:r>
    </w:p>
    <w:p w14:paraId="4BCEE29A" w14:textId="038612FF" w:rsidR="00D1295F" w:rsidRPr="0006075C" w:rsidRDefault="00D1295F" w:rsidP="00F57B81">
      <w:pPr>
        <w:pStyle w:val="NoSpacing"/>
        <w:numPr>
          <w:ilvl w:val="0"/>
          <w:numId w:val="1"/>
        </w:numPr>
        <w:tabs>
          <w:tab w:val="left" w:pos="900"/>
        </w:tabs>
        <w:spacing w:line="480" w:lineRule="auto"/>
        <w:jc w:val="both"/>
        <w:rPr>
          <w:rFonts w:ascii="Times New Roman" w:hAnsi="Times New Roman" w:cs="Times New Roman"/>
          <w:sz w:val="26"/>
          <w:szCs w:val="26"/>
        </w:rPr>
      </w:pPr>
      <w:r w:rsidRPr="0006075C">
        <w:rPr>
          <w:rFonts w:ascii="Times New Roman" w:hAnsi="Times New Roman" w:cs="Times New Roman"/>
          <w:sz w:val="26"/>
          <w:szCs w:val="26"/>
        </w:rPr>
        <w:t>The defendant threatened to cause bodily harm without the consent</w:t>
      </w:r>
      <w:r w:rsidRPr="0006075C">
        <w:rPr>
          <w:rStyle w:val="EndnoteReference"/>
          <w:rFonts w:ascii="Times New Roman" w:hAnsi="Times New Roman" w:cs="Times New Roman"/>
          <w:sz w:val="26"/>
          <w:szCs w:val="26"/>
        </w:rPr>
        <w:endnoteReference w:id="9"/>
      </w:r>
      <w:r w:rsidRPr="0006075C">
        <w:rPr>
          <w:rFonts w:ascii="Times New Roman" w:hAnsi="Times New Roman" w:cs="Times New Roman"/>
          <w:sz w:val="26"/>
          <w:szCs w:val="26"/>
        </w:rPr>
        <w:t xml:space="preserve"> of (</w:t>
      </w:r>
      <w:r w:rsidRPr="0006075C">
        <w:rPr>
          <w:rFonts w:ascii="Times New Roman" w:hAnsi="Times New Roman" w:cs="Times New Roman"/>
          <w:sz w:val="26"/>
          <w:szCs w:val="26"/>
          <w:u w:val="single"/>
        </w:rPr>
        <w:t>name of victim</w:t>
      </w:r>
      <w:r w:rsidRPr="0006075C">
        <w:rPr>
          <w:rFonts w:ascii="Times New Roman" w:hAnsi="Times New Roman" w:cs="Times New Roman"/>
          <w:sz w:val="26"/>
          <w:szCs w:val="26"/>
        </w:rPr>
        <w:t>).</w:t>
      </w:r>
    </w:p>
    <w:p w14:paraId="49937DDA" w14:textId="0B76773D" w:rsidR="0006075C" w:rsidRPr="0006075C" w:rsidRDefault="0006075C" w:rsidP="0006075C">
      <w:pPr>
        <w:pStyle w:val="NoSpacing"/>
        <w:tabs>
          <w:tab w:val="left" w:pos="900"/>
        </w:tabs>
        <w:spacing w:line="480" w:lineRule="auto"/>
        <w:ind w:left="900"/>
        <w:jc w:val="both"/>
        <w:rPr>
          <w:rFonts w:ascii="Times New Roman" w:hAnsi="Times New Roman" w:cs="Times New Roman"/>
          <w:sz w:val="26"/>
          <w:szCs w:val="26"/>
        </w:rPr>
      </w:pPr>
    </w:p>
    <w:p w14:paraId="5AC91029" w14:textId="585C81F3" w:rsidR="0006075C" w:rsidRPr="0006075C" w:rsidRDefault="0006075C" w:rsidP="0006075C">
      <w:pPr>
        <w:pStyle w:val="NoSpacing"/>
        <w:tabs>
          <w:tab w:val="left" w:pos="900"/>
        </w:tabs>
        <w:spacing w:line="480" w:lineRule="auto"/>
        <w:ind w:left="900"/>
        <w:jc w:val="both"/>
        <w:rPr>
          <w:rFonts w:ascii="Times New Roman" w:hAnsi="Times New Roman" w:cs="Times New Roman"/>
          <w:sz w:val="26"/>
          <w:szCs w:val="26"/>
        </w:rPr>
      </w:pPr>
    </w:p>
    <w:p w14:paraId="6FF2260F" w14:textId="77777777" w:rsidR="0006075C" w:rsidRPr="0006075C" w:rsidRDefault="0006075C" w:rsidP="0006075C">
      <w:pPr>
        <w:pStyle w:val="NoSpacing"/>
        <w:tabs>
          <w:tab w:val="left" w:pos="900"/>
        </w:tabs>
        <w:spacing w:line="480" w:lineRule="auto"/>
        <w:ind w:left="900"/>
        <w:jc w:val="both"/>
        <w:rPr>
          <w:rFonts w:ascii="Times New Roman" w:hAnsi="Times New Roman" w:cs="Times New Roman"/>
          <w:sz w:val="26"/>
          <w:szCs w:val="26"/>
        </w:rPr>
      </w:pPr>
    </w:p>
    <w:p w14:paraId="6747E19C" w14:textId="77777777" w:rsidR="00D1295F" w:rsidRPr="0006075C" w:rsidRDefault="00D1295F" w:rsidP="00D1295F">
      <w:pPr>
        <w:pStyle w:val="NoSpacing"/>
        <w:spacing w:line="480" w:lineRule="auto"/>
        <w:jc w:val="center"/>
        <w:rPr>
          <w:rFonts w:ascii="Times New Roman" w:hAnsi="Times New Roman" w:cs="Times New Roman"/>
          <w:b/>
          <w:bCs/>
          <w:sz w:val="26"/>
          <w:szCs w:val="26"/>
        </w:rPr>
      </w:pPr>
      <w:r w:rsidRPr="0006075C">
        <w:rPr>
          <w:rFonts w:ascii="Times New Roman" w:hAnsi="Times New Roman" w:cs="Times New Roman"/>
          <w:b/>
          <w:bCs/>
          <w:sz w:val="26"/>
          <w:szCs w:val="26"/>
        </w:rPr>
        <w:lastRenderedPageBreak/>
        <w:t>Deciding About Knowledge</w:t>
      </w:r>
    </w:p>
    <w:p w14:paraId="4BA6FB7B" w14:textId="77777777" w:rsidR="00D1295F" w:rsidRPr="0006075C" w:rsidRDefault="00D1295F" w:rsidP="00D1295F">
      <w:pPr>
        <w:pStyle w:val="NoSpacing"/>
        <w:spacing w:line="480" w:lineRule="auto"/>
        <w:ind w:firstLine="450"/>
        <w:jc w:val="both"/>
        <w:rPr>
          <w:rFonts w:ascii="Times New Roman" w:hAnsi="Times New Roman" w:cs="Times New Roman"/>
          <w:sz w:val="26"/>
          <w:szCs w:val="26"/>
        </w:rPr>
      </w:pPr>
      <w:r w:rsidRPr="0006075C">
        <w:rPr>
          <w:rFonts w:ascii="Times New Roman" w:hAnsi="Times New Roman" w:cs="Times New Roman"/>
          <w:sz w:val="26"/>
          <w:szCs w:val="26"/>
        </w:rPr>
        <w:t>You cannot look into a person’s mind to find knowledge. Knowledge must be found, if found at all, from the defendant’s acts, words, and statements, if any, and from all the facts and circumstances in this case bearing upon knowledge.</w:t>
      </w:r>
    </w:p>
    <w:p w14:paraId="600A8768" w14:textId="77777777" w:rsidR="00D1295F" w:rsidRPr="0006075C" w:rsidRDefault="00D1295F" w:rsidP="00D1295F">
      <w:pPr>
        <w:pStyle w:val="NoSpacing"/>
        <w:spacing w:line="480" w:lineRule="auto"/>
        <w:jc w:val="center"/>
        <w:rPr>
          <w:rFonts w:ascii="Times New Roman" w:hAnsi="Times New Roman" w:cs="Times New Roman"/>
          <w:b/>
          <w:bCs/>
          <w:sz w:val="26"/>
          <w:szCs w:val="26"/>
        </w:rPr>
      </w:pPr>
      <w:r w:rsidRPr="0006075C">
        <w:rPr>
          <w:rFonts w:ascii="Times New Roman" w:hAnsi="Times New Roman" w:cs="Times New Roman"/>
          <w:b/>
          <w:bCs/>
          <w:sz w:val="26"/>
          <w:szCs w:val="26"/>
        </w:rPr>
        <w:t>Jury’s Decision</w:t>
      </w:r>
    </w:p>
    <w:p w14:paraId="0EF985F0" w14:textId="11333BF2" w:rsidR="00D1295F" w:rsidRPr="0006075C" w:rsidRDefault="00D1295F" w:rsidP="00D1295F">
      <w:pPr>
        <w:pStyle w:val="NoSpacing"/>
        <w:spacing w:line="480" w:lineRule="auto"/>
        <w:ind w:firstLine="450"/>
        <w:jc w:val="both"/>
        <w:rPr>
          <w:rFonts w:ascii="Times New Roman" w:hAnsi="Times New Roman" w:cs="Times New Roman"/>
          <w:sz w:val="26"/>
          <w:szCs w:val="26"/>
        </w:rPr>
      </w:pPr>
      <w:r w:rsidRPr="0006075C">
        <w:rPr>
          <w:rFonts w:ascii="Times New Roman" w:hAnsi="Times New Roman" w:cs="Times New Roman"/>
          <w:sz w:val="26"/>
          <w:szCs w:val="26"/>
        </w:rPr>
        <w:t xml:space="preserve">If you are satisfied beyond a reasonable doubt that all </w:t>
      </w:r>
      <w:r w:rsidR="006A5265" w:rsidRPr="0006075C">
        <w:rPr>
          <w:rFonts w:ascii="Times New Roman" w:hAnsi="Times New Roman" w:cs="Times New Roman"/>
          <w:sz w:val="26"/>
          <w:szCs w:val="26"/>
        </w:rPr>
        <w:t>six</w:t>
      </w:r>
      <w:r w:rsidRPr="0006075C">
        <w:rPr>
          <w:rFonts w:ascii="Times New Roman" w:hAnsi="Times New Roman" w:cs="Times New Roman"/>
          <w:sz w:val="26"/>
          <w:szCs w:val="26"/>
        </w:rPr>
        <w:t xml:space="preserve"> elements of this offense have been proved, you should find the defendant guilty.</w:t>
      </w:r>
    </w:p>
    <w:p w14:paraId="159403E9" w14:textId="77777777" w:rsidR="00D1295F" w:rsidRPr="0006075C" w:rsidRDefault="00D1295F" w:rsidP="00D1295F">
      <w:pPr>
        <w:pStyle w:val="NoSpacing"/>
        <w:spacing w:line="480" w:lineRule="auto"/>
        <w:ind w:firstLine="450"/>
        <w:jc w:val="both"/>
        <w:rPr>
          <w:rFonts w:ascii="Times New Roman" w:hAnsi="Times New Roman" w:cs="Times New Roman"/>
          <w:sz w:val="26"/>
          <w:szCs w:val="26"/>
        </w:rPr>
      </w:pPr>
      <w:r w:rsidRPr="0006075C">
        <w:rPr>
          <w:rFonts w:ascii="Times New Roman" w:hAnsi="Times New Roman" w:cs="Times New Roman"/>
          <w:sz w:val="26"/>
          <w:szCs w:val="26"/>
        </w:rPr>
        <w:t>If you are not so satisfied, you must find the defendant not guilty.</w:t>
      </w:r>
    </w:p>
    <w:p w14:paraId="6A66AC34" w14:textId="2FCD2C6F" w:rsidR="00D1295F" w:rsidRPr="0006075C" w:rsidRDefault="00D1295F" w:rsidP="00D1295F">
      <w:pPr>
        <w:pStyle w:val="NoSpacing"/>
        <w:jc w:val="both"/>
        <w:rPr>
          <w:rFonts w:ascii="Times New Roman" w:hAnsi="Times New Roman" w:cs="Times New Roman"/>
          <w:sz w:val="26"/>
          <w:szCs w:val="26"/>
        </w:rPr>
      </w:pPr>
    </w:p>
    <w:p w14:paraId="6D2E6A86" w14:textId="77777777" w:rsidR="0006075C" w:rsidRPr="0006075C" w:rsidRDefault="0006075C" w:rsidP="00D1295F">
      <w:pPr>
        <w:pStyle w:val="NoSpacing"/>
        <w:jc w:val="both"/>
        <w:rPr>
          <w:rFonts w:ascii="Times New Roman" w:hAnsi="Times New Roman" w:cs="Times New Roman"/>
          <w:sz w:val="26"/>
          <w:szCs w:val="26"/>
        </w:rPr>
      </w:pPr>
    </w:p>
    <w:p w14:paraId="2E966C3A" w14:textId="77777777" w:rsidR="00D1295F" w:rsidRPr="0006075C" w:rsidRDefault="00D1295F" w:rsidP="00D1295F">
      <w:pPr>
        <w:widowControl w:val="0"/>
        <w:autoSpaceDE w:val="0"/>
        <w:autoSpaceDN w:val="0"/>
        <w:adjustRightInd w:val="0"/>
        <w:spacing w:after="0" w:line="240" w:lineRule="auto"/>
        <w:jc w:val="both"/>
        <w:rPr>
          <w:rFonts w:ascii="Times New Roman" w:eastAsia="Times New Roman" w:hAnsi="Times New Roman" w:cs="Times New Roman"/>
          <w:b/>
          <w:bCs/>
        </w:rPr>
      </w:pPr>
    </w:p>
    <w:p w14:paraId="5BC2B53A" w14:textId="6D22D410" w:rsidR="00D1295F" w:rsidRPr="0006075C" w:rsidRDefault="00D1295F" w:rsidP="00D1295F">
      <w:pPr>
        <w:widowControl w:val="0"/>
        <w:autoSpaceDE w:val="0"/>
        <w:autoSpaceDN w:val="0"/>
        <w:adjustRightInd w:val="0"/>
        <w:spacing w:after="0" w:line="240" w:lineRule="auto"/>
        <w:jc w:val="both"/>
        <w:rPr>
          <w:rFonts w:ascii="Times New Roman" w:eastAsia="Times New Roman" w:hAnsi="Times New Roman" w:cs="Times New Roman"/>
          <w:b/>
          <w:bCs/>
        </w:rPr>
      </w:pPr>
    </w:p>
    <w:p w14:paraId="6C2E5EEC" w14:textId="77777777" w:rsidR="0006075C" w:rsidRPr="0006075C" w:rsidRDefault="0006075C" w:rsidP="00D1295F">
      <w:pPr>
        <w:widowControl w:val="0"/>
        <w:autoSpaceDE w:val="0"/>
        <w:autoSpaceDN w:val="0"/>
        <w:adjustRightInd w:val="0"/>
        <w:spacing w:after="0" w:line="240" w:lineRule="auto"/>
        <w:jc w:val="both"/>
        <w:rPr>
          <w:rFonts w:ascii="Times New Roman" w:eastAsia="Times New Roman" w:hAnsi="Times New Roman" w:cs="Times New Roman"/>
          <w:b/>
          <w:bCs/>
        </w:rPr>
      </w:pPr>
    </w:p>
    <w:p w14:paraId="57AF48D6" w14:textId="77777777" w:rsidR="00D1295F" w:rsidRPr="0006075C" w:rsidRDefault="00D1295F" w:rsidP="00D1295F">
      <w:pPr>
        <w:widowControl w:val="0"/>
        <w:autoSpaceDE w:val="0"/>
        <w:autoSpaceDN w:val="0"/>
        <w:adjustRightInd w:val="0"/>
        <w:spacing w:after="0" w:line="240" w:lineRule="auto"/>
        <w:jc w:val="both"/>
        <w:rPr>
          <w:rFonts w:ascii="Times New Roman" w:eastAsia="Times New Roman" w:hAnsi="Times New Roman" w:cs="Times New Roman"/>
          <w:b/>
          <w:bCs/>
        </w:rPr>
      </w:pPr>
      <w:r w:rsidRPr="0006075C">
        <w:rPr>
          <w:rFonts w:ascii="Times New Roman" w:eastAsia="Times New Roman" w:hAnsi="Times New Roman" w:cs="Times New Roman"/>
          <w:b/>
          <w:bCs/>
        </w:rPr>
        <w:t>COMMENT</w:t>
      </w:r>
    </w:p>
    <w:p w14:paraId="7A8A209E" w14:textId="77777777" w:rsidR="00D1295F" w:rsidRPr="0006075C" w:rsidRDefault="00D1295F" w:rsidP="00D1295F">
      <w:pPr>
        <w:widowControl w:val="0"/>
        <w:autoSpaceDE w:val="0"/>
        <w:autoSpaceDN w:val="0"/>
        <w:adjustRightInd w:val="0"/>
        <w:spacing w:after="0" w:line="240" w:lineRule="auto"/>
        <w:jc w:val="both"/>
        <w:rPr>
          <w:rFonts w:ascii="Times New Roman" w:eastAsia="Times New Roman" w:hAnsi="Times New Roman" w:cs="Times New Roman"/>
        </w:rPr>
      </w:pPr>
    </w:p>
    <w:p w14:paraId="2012364D" w14:textId="0221787E" w:rsidR="00D1295F" w:rsidRPr="0006075C" w:rsidRDefault="00D1295F" w:rsidP="00D1295F">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6075C">
        <w:rPr>
          <w:rFonts w:ascii="Times New Roman" w:eastAsia="Times New Roman" w:hAnsi="Times New Roman" w:cs="Times New Roman"/>
        </w:rPr>
        <w:t>Wis JI</w:t>
      </w:r>
      <w:r w:rsidR="00A54C48">
        <w:rPr>
          <w:rFonts w:ascii="Times New Roman" w:eastAsia="Times New Roman" w:hAnsi="Times New Roman" w:cs="Times New Roman"/>
        </w:rPr>
        <w:t>–</w:t>
      </w:r>
      <w:r w:rsidRPr="0006075C">
        <w:rPr>
          <w:rFonts w:ascii="Times New Roman" w:eastAsia="Times New Roman" w:hAnsi="Times New Roman" w:cs="Times New Roman"/>
        </w:rPr>
        <w:t>Criminal 1232B was approved by the Committee in</w:t>
      </w:r>
      <w:r w:rsidR="00C156B4">
        <w:rPr>
          <w:rFonts w:ascii="Times New Roman" w:eastAsia="Times New Roman" w:hAnsi="Times New Roman" w:cs="Times New Roman"/>
        </w:rPr>
        <w:t xml:space="preserve"> June 2026</w:t>
      </w:r>
      <w:r w:rsidRPr="0006075C">
        <w:rPr>
          <w:rFonts w:ascii="Times New Roman" w:eastAsia="Times New Roman" w:hAnsi="Times New Roman" w:cs="Times New Roman"/>
        </w:rPr>
        <w:t>.</w:t>
      </w:r>
    </w:p>
    <w:p w14:paraId="75B9E6D6" w14:textId="77777777" w:rsidR="00D1295F" w:rsidRPr="0006075C" w:rsidRDefault="00D1295F" w:rsidP="00D1295F">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77D988CA" w14:textId="469A270E" w:rsidR="00D1295F" w:rsidRPr="0006075C" w:rsidRDefault="00D1295F" w:rsidP="00D1295F">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6075C">
        <w:rPr>
          <w:rFonts w:ascii="Times New Roman" w:eastAsia="Times New Roman" w:hAnsi="Times New Roman" w:cs="Times New Roman"/>
        </w:rPr>
        <w:t xml:space="preserve">§ 947.016(1), created by 2025 Wisconsin Act 24 [effective August 10, 2025], establishes a Class H felony for threatening to cause bodily harm to certain individuals involved in the court or legal system. While the statute applies broadly—including judges, prosecutors, law enforcement officers, </w:t>
      </w:r>
      <w:proofErr w:type="gramStart"/>
      <w:r w:rsidRPr="0006075C">
        <w:rPr>
          <w:rFonts w:ascii="Times New Roman" w:eastAsia="Times New Roman" w:hAnsi="Times New Roman" w:cs="Times New Roman"/>
        </w:rPr>
        <w:t>guardians</w:t>
      </w:r>
      <w:proofErr w:type="gramEnd"/>
      <w:r w:rsidRPr="0006075C">
        <w:rPr>
          <w:rFonts w:ascii="Times New Roman" w:eastAsia="Times New Roman" w:hAnsi="Times New Roman" w:cs="Times New Roman"/>
        </w:rPr>
        <w:t xml:space="preserve"> ad litem, corporation counsel, advocates, attorneys, and witnesses</w:t>
      </w:r>
      <w:r w:rsidR="002A5304" w:rsidRPr="0006075C">
        <w:rPr>
          <w:rFonts w:ascii="Times New Roman" w:eastAsia="Times New Roman" w:hAnsi="Times New Roman" w:cs="Times New Roman"/>
        </w:rPr>
        <w:t>—</w:t>
      </w:r>
      <w:r w:rsidRPr="0006075C">
        <w:rPr>
          <w:rFonts w:ascii="Times New Roman" w:eastAsia="Times New Roman" w:hAnsi="Times New Roman" w:cs="Times New Roman"/>
        </w:rPr>
        <w:t>this instruction is limited to juror-related prosecutions</w:t>
      </w:r>
      <w:r w:rsidR="00DB3362">
        <w:rPr>
          <w:rFonts w:ascii="Times New Roman" w:eastAsia="Times New Roman" w:hAnsi="Times New Roman" w:cs="Times New Roman"/>
        </w:rPr>
        <w:t>.</w:t>
      </w:r>
    </w:p>
    <w:p w14:paraId="6F61A0B2" w14:textId="77777777" w:rsidR="00D1295F" w:rsidRPr="0006075C" w:rsidRDefault="00D1295F" w:rsidP="00D1295F">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0C00921A" w14:textId="64B22E60" w:rsidR="00F57B81" w:rsidRPr="0006075C" w:rsidRDefault="00D1295F" w:rsidP="00D1295F">
      <w:pPr>
        <w:widowControl w:val="0"/>
        <w:autoSpaceDE w:val="0"/>
        <w:autoSpaceDN w:val="0"/>
        <w:adjustRightInd w:val="0"/>
        <w:spacing w:after="0" w:line="240" w:lineRule="auto"/>
        <w:ind w:firstLine="450"/>
        <w:jc w:val="both"/>
        <w:rPr>
          <w:rFonts w:ascii="Times New Roman" w:hAnsi="Times New Roman" w:cs="Times New Roman"/>
        </w:rPr>
      </w:pPr>
      <w:r w:rsidRPr="0006075C">
        <w:rPr>
          <w:rFonts w:ascii="Times New Roman" w:hAnsi="Times New Roman" w:cs="Times New Roman"/>
        </w:rPr>
        <w:t>For an instruction on battery to a juror (or a juror’s family member) under the recodified battery provisions, see Wis JI–Criminal 1232A.</w:t>
      </w:r>
    </w:p>
    <w:p w14:paraId="22A9F869" w14:textId="220F373A" w:rsidR="004E5703" w:rsidRPr="0006075C" w:rsidRDefault="004E5703" w:rsidP="00D1295F">
      <w:pPr>
        <w:widowControl w:val="0"/>
        <w:autoSpaceDE w:val="0"/>
        <w:autoSpaceDN w:val="0"/>
        <w:adjustRightInd w:val="0"/>
        <w:spacing w:after="0" w:line="240" w:lineRule="auto"/>
        <w:ind w:firstLine="450"/>
        <w:jc w:val="both"/>
        <w:rPr>
          <w:rFonts w:ascii="Times New Roman" w:hAnsi="Times New Roman" w:cs="Times New Roman"/>
        </w:rPr>
      </w:pPr>
    </w:p>
    <w:p w14:paraId="6D85419F" w14:textId="6072269C" w:rsidR="004E5703" w:rsidRPr="0006075C" w:rsidRDefault="004E5703" w:rsidP="004E5703">
      <w:pPr>
        <w:widowControl w:val="0"/>
        <w:autoSpaceDE w:val="0"/>
        <w:autoSpaceDN w:val="0"/>
        <w:adjustRightInd w:val="0"/>
        <w:spacing w:after="0" w:line="240" w:lineRule="auto"/>
        <w:ind w:firstLine="450"/>
        <w:jc w:val="both"/>
        <w:rPr>
          <w:rFonts w:ascii="Times New Roman" w:hAnsi="Times New Roman" w:cs="Times New Roman"/>
        </w:rPr>
      </w:pPr>
      <w:r w:rsidRPr="0006075C">
        <w:rPr>
          <w:rFonts w:ascii="Times New Roman" w:hAnsi="Times New Roman" w:cs="Times New Roman"/>
          <w:b/>
          <w:bCs/>
          <w:u w:val="single"/>
        </w:rPr>
        <w:t>Note</w:t>
      </w:r>
      <w:r w:rsidRPr="0006075C">
        <w:rPr>
          <w:rFonts w:ascii="Times New Roman" w:hAnsi="Times New Roman" w:cs="Times New Roman"/>
        </w:rPr>
        <w:t xml:space="preserve">: § 947.016(1) does not use the word “intentionally” in connection with the threat. Prior to the enactment of 2025 Wisconsin Act 24 many Wisconsin threat statutes required that the defendant “intentionally threatened.” Under those statutes, the statutory </w:t>
      </w:r>
      <w:proofErr w:type="spellStart"/>
      <w:r w:rsidRPr="0006075C">
        <w:rPr>
          <w:rFonts w:ascii="Times New Roman" w:hAnsi="Times New Roman" w:cs="Times New Roman"/>
        </w:rPr>
        <w:t>mens</w:t>
      </w:r>
      <w:proofErr w:type="spellEnd"/>
      <w:r w:rsidRPr="0006075C">
        <w:rPr>
          <w:rFonts w:ascii="Times New Roman" w:hAnsi="Times New Roman" w:cs="Times New Roman"/>
        </w:rPr>
        <w:t xml:space="preserve"> rea (intentional purpose) exceeded the constitutional minimum (recklessness) established by </w:t>
      </w:r>
      <w:r w:rsidRPr="0006075C">
        <w:rPr>
          <w:rFonts w:ascii="Times New Roman" w:hAnsi="Times New Roman" w:cs="Times New Roman"/>
          <w:u w:val="single"/>
        </w:rPr>
        <w:t>Counterman v. Colorado</w:t>
      </w:r>
      <w:r w:rsidRPr="00DE1269">
        <w:rPr>
          <w:rFonts w:ascii="Times New Roman" w:hAnsi="Times New Roman" w:cs="Times New Roman"/>
        </w:rPr>
        <w:t>, 600 U.S.</w:t>
      </w:r>
      <w:r w:rsidRPr="0006075C">
        <w:rPr>
          <w:rFonts w:ascii="Times New Roman" w:hAnsi="Times New Roman" w:cs="Times New Roman"/>
        </w:rPr>
        <w:t xml:space="preserve"> 66. By contrast, because § 947.016(1) does not impose an intent requirement for the threat element, Element 5 of this instruction—the </w:t>
      </w:r>
      <w:r w:rsidRPr="0006075C">
        <w:rPr>
          <w:rFonts w:ascii="Times New Roman" w:hAnsi="Times New Roman" w:cs="Times New Roman"/>
          <w:u w:val="single"/>
        </w:rPr>
        <w:t>Counterman/</w:t>
      </w:r>
      <w:proofErr w:type="spellStart"/>
      <w:r w:rsidRPr="0006075C">
        <w:rPr>
          <w:rFonts w:ascii="Times New Roman" w:hAnsi="Times New Roman" w:cs="Times New Roman"/>
          <w:u w:val="single"/>
        </w:rPr>
        <w:t>Kindschy</w:t>
      </w:r>
      <w:proofErr w:type="spellEnd"/>
      <w:r w:rsidRPr="0006075C">
        <w:rPr>
          <w:rFonts w:ascii="Times New Roman" w:hAnsi="Times New Roman" w:cs="Times New Roman"/>
        </w:rPr>
        <w:t xml:space="preserve"> recklessness standard—functions both as the constitutional minimum and as the operative </w:t>
      </w:r>
      <w:proofErr w:type="spellStart"/>
      <w:r w:rsidRPr="0006075C">
        <w:rPr>
          <w:rFonts w:ascii="Times New Roman" w:hAnsi="Times New Roman" w:cs="Times New Roman"/>
        </w:rPr>
        <w:t>mens</w:t>
      </w:r>
      <w:proofErr w:type="spellEnd"/>
      <w:r w:rsidRPr="0006075C">
        <w:rPr>
          <w:rFonts w:ascii="Times New Roman" w:hAnsi="Times New Roman" w:cs="Times New Roman"/>
        </w:rPr>
        <w:t xml:space="preserve"> rea for true-threat prosecutions under the statute.</w:t>
      </w:r>
    </w:p>
    <w:p w14:paraId="5A9E2873" w14:textId="77777777" w:rsidR="00D1295F" w:rsidRPr="00D1295F" w:rsidRDefault="00D1295F" w:rsidP="004E5703">
      <w:pPr>
        <w:widowControl w:val="0"/>
        <w:autoSpaceDE w:val="0"/>
        <w:autoSpaceDN w:val="0"/>
        <w:adjustRightInd w:val="0"/>
        <w:spacing w:after="0" w:line="240" w:lineRule="auto"/>
        <w:jc w:val="both"/>
        <w:rPr>
          <w:rFonts w:ascii="Times New Roman" w:eastAsia="Times New Roman" w:hAnsi="Times New Roman" w:cs="Times New Roman"/>
        </w:rPr>
      </w:pPr>
    </w:p>
    <w:sectPr w:rsidR="00D1295F" w:rsidRPr="00D1295F" w:rsidSect="0006075C">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8C6B5" w14:textId="77777777" w:rsidR="00F57B81" w:rsidRDefault="00F57B81" w:rsidP="00F57B81">
      <w:pPr>
        <w:spacing w:after="0" w:line="240" w:lineRule="auto"/>
      </w:pPr>
      <w:r>
        <w:separator/>
      </w:r>
    </w:p>
  </w:endnote>
  <w:endnote w:type="continuationSeparator" w:id="0">
    <w:p w14:paraId="04CF2C28" w14:textId="77777777" w:rsidR="00F57B81" w:rsidRDefault="00F57B81" w:rsidP="00F57B81">
      <w:pPr>
        <w:spacing w:after="0" w:line="240" w:lineRule="auto"/>
      </w:pPr>
      <w:r>
        <w:continuationSeparator/>
      </w:r>
    </w:p>
  </w:endnote>
  <w:endnote w:id="1">
    <w:p w14:paraId="0EDBD299" w14:textId="68A4539E" w:rsidR="00F57B81" w:rsidRPr="0006075C" w:rsidRDefault="00F57B81" w:rsidP="00F57B81">
      <w:pPr>
        <w:widowControl w:val="0"/>
        <w:tabs>
          <w:tab w:val="left" w:pos="900"/>
        </w:tabs>
        <w:autoSpaceDE w:val="0"/>
        <w:autoSpaceDN w:val="0"/>
        <w:adjustRightInd w:val="0"/>
        <w:spacing w:after="0" w:line="240" w:lineRule="auto"/>
        <w:ind w:firstLine="450"/>
        <w:contextualSpacing/>
        <w:jc w:val="both"/>
        <w:rPr>
          <w:rFonts w:ascii="Times New Roman" w:eastAsia="Times New Roman" w:hAnsi="Times New Roman" w:cs="Times New Roman"/>
        </w:rPr>
      </w:pPr>
      <w:r w:rsidRPr="0006075C">
        <w:rPr>
          <w:rFonts w:ascii="Times New Roman" w:hAnsi="Times New Roman" w:cs="Times New Roman"/>
        </w:rPr>
        <w:endnoteRef/>
      </w:r>
      <w:r w:rsidRPr="0006075C">
        <w:rPr>
          <w:rFonts w:ascii="Times New Roman" w:hAnsi="Times New Roman" w:cs="Times New Roman"/>
        </w:rPr>
        <w:t xml:space="preserve">. </w:t>
      </w:r>
      <w:r w:rsidRPr="0006075C">
        <w:rPr>
          <w:rFonts w:ascii="Times New Roman" w:eastAsia="Times New Roman" w:hAnsi="Times New Roman" w:cs="Times New Roman"/>
        </w:rPr>
        <w:t xml:space="preserve">§ 940.202 (1)(b) defines “Juror” as follows: </w:t>
      </w:r>
    </w:p>
    <w:p w14:paraId="222AE404" w14:textId="77777777" w:rsidR="00F57B81" w:rsidRPr="0006075C" w:rsidRDefault="00F57B81" w:rsidP="00F57B81">
      <w:pPr>
        <w:widowControl w:val="0"/>
        <w:tabs>
          <w:tab w:val="left" w:pos="900"/>
        </w:tabs>
        <w:autoSpaceDE w:val="0"/>
        <w:autoSpaceDN w:val="0"/>
        <w:adjustRightInd w:val="0"/>
        <w:spacing w:after="0" w:line="240" w:lineRule="auto"/>
        <w:ind w:left="450"/>
        <w:contextualSpacing/>
        <w:jc w:val="both"/>
        <w:rPr>
          <w:rFonts w:ascii="Times New Roman" w:eastAsia="Times New Roman" w:hAnsi="Times New Roman" w:cs="Times New Roman"/>
        </w:rPr>
      </w:pPr>
    </w:p>
    <w:p w14:paraId="627A3C47" w14:textId="77777777" w:rsidR="00F57B81" w:rsidRPr="0006075C" w:rsidRDefault="00F57B81" w:rsidP="00F57B81">
      <w:pPr>
        <w:widowControl w:val="0"/>
        <w:autoSpaceDE w:val="0"/>
        <w:autoSpaceDN w:val="0"/>
        <w:adjustRightInd w:val="0"/>
        <w:spacing w:after="0" w:line="240" w:lineRule="auto"/>
        <w:ind w:left="450" w:right="450"/>
        <w:contextualSpacing/>
        <w:jc w:val="both"/>
        <w:rPr>
          <w:rFonts w:ascii="Times New Roman" w:eastAsia="Times New Roman" w:hAnsi="Times New Roman" w:cs="Times New Roman"/>
        </w:rPr>
      </w:pPr>
      <w:r w:rsidRPr="0006075C">
        <w:rPr>
          <w:rFonts w:ascii="Times New Roman" w:eastAsia="Times New Roman" w:hAnsi="Times New Roman" w:cs="Times New Roman"/>
        </w:rPr>
        <w:t>“Juror” means a person who is or was a grand or petit juror or is a prospective grand or petit juror who has received a summons to appear for jury service.</w:t>
      </w:r>
    </w:p>
    <w:p w14:paraId="06674CEF" w14:textId="77777777" w:rsidR="00F57B81" w:rsidRPr="0006075C" w:rsidRDefault="00F57B81" w:rsidP="00F57B81">
      <w:pPr>
        <w:widowControl w:val="0"/>
        <w:autoSpaceDE w:val="0"/>
        <w:autoSpaceDN w:val="0"/>
        <w:adjustRightInd w:val="0"/>
        <w:spacing w:after="0" w:line="240" w:lineRule="auto"/>
        <w:ind w:right="450"/>
        <w:jc w:val="both"/>
        <w:rPr>
          <w:rFonts w:ascii="Times New Roman" w:eastAsia="Times New Roman" w:hAnsi="Times New Roman" w:cs="Times New Roman"/>
        </w:rPr>
      </w:pPr>
    </w:p>
    <w:p w14:paraId="43FF17D5" w14:textId="77777777" w:rsidR="00F57B81" w:rsidRPr="0006075C" w:rsidRDefault="00F57B81" w:rsidP="00F57B81">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6075C">
        <w:rPr>
          <w:rFonts w:ascii="Times New Roman" w:eastAsia="Times New Roman" w:hAnsi="Times New Roman" w:cs="Times New Roman"/>
        </w:rPr>
        <w:t>The Committee believes it is clearer for jurors to be instructed simply that, for example, the victim “was a juror.” If the facts of a particular case require reference to a “grand” or “petit” juror, the Committee recommends including those terms in the instruction as needed. For additional context on grand juries, see Wis. Stat. § 968.40; for petit juries, see Wis. Stat. § 756.001.</w:t>
      </w:r>
    </w:p>
    <w:p w14:paraId="1FDE4F06" w14:textId="2C422A43" w:rsidR="00F57B81" w:rsidRPr="0006075C" w:rsidRDefault="00F57B81">
      <w:pPr>
        <w:pStyle w:val="EndnoteText"/>
      </w:pPr>
    </w:p>
  </w:endnote>
  <w:endnote w:id="2">
    <w:p w14:paraId="2A9A688F" w14:textId="5D6BFAC1" w:rsidR="00751EC2" w:rsidRPr="0006075C" w:rsidRDefault="00F57B81" w:rsidP="00AA207F">
      <w:pPr>
        <w:pStyle w:val="EndnoteText"/>
        <w:tabs>
          <w:tab w:val="left" w:pos="900"/>
        </w:tabs>
        <w:ind w:firstLine="450"/>
        <w:jc w:val="both"/>
        <w:rPr>
          <w:rFonts w:ascii="Times New Roman" w:hAnsi="Times New Roman" w:cs="Times New Roman"/>
          <w:sz w:val="22"/>
          <w:szCs w:val="22"/>
        </w:rPr>
      </w:pPr>
      <w:r w:rsidRPr="0006075C">
        <w:rPr>
          <w:rFonts w:ascii="Times New Roman" w:hAnsi="Times New Roman" w:cs="Times New Roman"/>
          <w:sz w:val="22"/>
          <w:szCs w:val="22"/>
        </w:rPr>
        <w:endnoteRef/>
      </w:r>
      <w:r w:rsidRPr="0006075C">
        <w:rPr>
          <w:rFonts w:ascii="Times New Roman" w:hAnsi="Times New Roman" w:cs="Times New Roman"/>
          <w:sz w:val="22"/>
          <w:szCs w:val="22"/>
        </w:rPr>
        <w:t>.</w:t>
      </w:r>
      <w:r w:rsidRPr="0006075C">
        <w:rPr>
          <w:rFonts w:ascii="Times New Roman" w:hAnsi="Times New Roman" w:cs="Times New Roman"/>
          <w:sz w:val="22"/>
          <w:szCs w:val="22"/>
        </w:rPr>
        <w:tab/>
      </w:r>
      <w:r w:rsidR="00751EC2" w:rsidRPr="0006075C">
        <w:rPr>
          <w:rFonts w:ascii="Times New Roman" w:hAnsi="Times New Roman" w:cs="Times New Roman"/>
          <w:sz w:val="22"/>
          <w:szCs w:val="22"/>
        </w:rPr>
        <w:t>The knowledge element reflects the standard in § 939.23(2): the actor must have knowledge of those facts which constitute the crime—here, knowledge that the victim is a current or former juror or a family member of a current or former juror. See Wis JI–Criminal 920.</w:t>
      </w:r>
    </w:p>
    <w:p w14:paraId="033E6A48" w14:textId="77777777" w:rsidR="00F57B81" w:rsidRPr="0006075C" w:rsidRDefault="00F57B81" w:rsidP="00F57B81">
      <w:pPr>
        <w:pStyle w:val="EndnoteText"/>
        <w:tabs>
          <w:tab w:val="left" w:pos="900"/>
        </w:tabs>
        <w:ind w:firstLine="450"/>
        <w:rPr>
          <w:rFonts w:ascii="Times New Roman" w:hAnsi="Times New Roman" w:cs="Times New Roman"/>
          <w:sz w:val="22"/>
          <w:szCs w:val="22"/>
        </w:rPr>
      </w:pPr>
    </w:p>
  </w:endnote>
  <w:endnote w:id="3">
    <w:p w14:paraId="052E349C" w14:textId="676D52FF" w:rsidR="00F57B81" w:rsidRPr="0006075C" w:rsidRDefault="00F57B81" w:rsidP="00F57B81">
      <w:pPr>
        <w:pStyle w:val="EndnoteText"/>
        <w:tabs>
          <w:tab w:val="left" w:pos="900"/>
        </w:tabs>
        <w:ind w:firstLine="450"/>
        <w:jc w:val="both"/>
        <w:rPr>
          <w:rFonts w:ascii="Times New Roman" w:hAnsi="Times New Roman" w:cs="Times New Roman"/>
          <w:sz w:val="22"/>
          <w:szCs w:val="22"/>
        </w:rPr>
      </w:pPr>
      <w:r w:rsidRPr="0006075C">
        <w:rPr>
          <w:rFonts w:ascii="Times New Roman" w:hAnsi="Times New Roman" w:cs="Times New Roman"/>
          <w:sz w:val="22"/>
          <w:szCs w:val="22"/>
        </w:rPr>
        <w:endnoteRef/>
      </w:r>
      <w:r w:rsidRPr="0006075C">
        <w:rPr>
          <w:rFonts w:ascii="Times New Roman" w:hAnsi="Times New Roman" w:cs="Times New Roman"/>
          <w:sz w:val="22"/>
          <w:szCs w:val="22"/>
        </w:rPr>
        <w:t>.</w:t>
      </w:r>
      <w:r w:rsidRPr="0006075C">
        <w:rPr>
          <w:rFonts w:ascii="Times New Roman" w:hAnsi="Times New Roman" w:cs="Times New Roman"/>
          <w:sz w:val="22"/>
          <w:szCs w:val="22"/>
        </w:rPr>
        <w:tab/>
        <w:t xml:space="preserve">See </w:t>
      </w:r>
      <w:r w:rsidRPr="0006075C">
        <w:rPr>
          <w:rFonts w:ascii="Times New Roman" w:hAnsi="Times New Roman" w:cs="Times New Roman"/>
          <w:sz w:val="22"/>
          <w:szCs w:val="22"/>
          <w:u w:val="single"/>
        </w:rPr>
        <w:t>Counterman v. Colorado</w:t>
      </w:r>
      <w:r w:rsidRPr="0006075C">
        <w:rPr>
          <w:rFonts w:ascii="Times New Roman" w:hAnsi="Times New Roman" w:cs="Times New Roman"/>
          <w:sz w:val="22"/>
          <w:szCs w:val="22"/>
        </w:rPr>
        <w:t xml:space="preserve">, 600 U.S. at 74, 143 S. Ct. 2106 (2023). Justice </w:t>
      </w:r>
      <w:r w:rsidR="002474C1" w:rsidRPr="0006075C">
        <w:rPr>
          <w:rFonts w:ascii="Times New Roman" w:hAnsi="Times New Roman" w:cs="Times New Roman"/>
          <w:sz w:val="22"/>
          <w:szCs w:val="22"/>
        </w:rPr>
        <w:t>Bradley</w:t>
      </w:r>
      <w:r w:rsidRPr="0006075C">
        <w:rPr>
          <w:rFonts w:ascii="Times New Roman" w:hAnsi="Times New Roman" w:cs="Times New Roman"/>
          <w:sz w:val="22"/>
          <w:szCs w:val="22"/>
        </w:rPr>
        <w:t xml:space="preserve">’s concurrence in </w:t>
      </w:r>
      <w:proofErr w:type="spellStart"/>
      <w:r w:rsidRPr="0006075C">
        <w:rPr>
          <w:rFonts w:ascii="Times New Roman" w:hAnsi="Times New Roman" w:cs="Times New Roman"/>
          <w:sz w:val="22"/>
          <w:szCs w:val="22"/>
          <w:u w:val="single"/>
        </w:rPr>
        <w:t>Kindschy</w:t>
      </w:r>
      <w:proofErr w:type="spellEnd"/>
      <w:r w:rsidRPr="0006075C">
        <w:rPr>
          <w:rFonts w:ascii="Times New Roman" w:hAnsi="Times New Roman" w:cs="Times New Roman"/>
          <w:sz w:val="22"/>
          <w:szCs w:val="22"/>
          <w:u w:val="single"/>
        </w:rPr>
        <w:t xml:space="preserve"> v. </w:t>
      </w:r>
      <w:proofErr w:type="spellStart"/>
      <w:r w:rsidRPr="0006075C">
        <w:rPr>
          <w:rFonts w:ascii="Times New Roman" w:hAnsi="Times New Roman" w:cs="Times New Roman"/>
          <w:sz w:val="22"/>
          <w:szCs w:val="22"/>
          <w:u w:val="single"/>
        </w:rPr>
        <w:t>Aish</w:t>
      </w:r>
      <w:proofErr w:type="spellEnd"/>
      <w:r w:rsidRPr="0006075C">
        <w:rPr>
          <w:rFonts w:ascii="Times New Roman" w:hAnsi="Times New Roman" w:cs="Times New Roman"/>
          <w:sz w:val="22"/>
          <w:szCs w:val="22"/>
        </w:rPr>
        <w:t xml:space="preserve">, 2024 WI 27, ¶44, 412 Wis.2d 319, 8 N.W.3d 1, acknowledges </w:t>
      </w:r>
      <w:r w:rsidRPr="0006075C">
        <w:rPr>
          <w:rFonts w:ascii="Times New Roman" w:hAnsi="Times New Roman" w:cs="Times New Roman"/>
          <w:sz w:val="22"/>
          <w:szCs w:val="22"/>
          <w:u w:val="single"/>
        </w:rPr>
        <w:t>Counterman</w:t>
      </w:r>
      <w:r w:rsidRPr="0006075C">
        <w:rPr>
          <w:rFonts w:ascii="Times New Roman" w:hAnsi="Times New Roman" w:cs="Times New Roman"/>
          <w:sz w:val="22"/>
          <w:szCs w:val="22"/>
        </w:rPr>
        <w:t xml:space="preserve">’s recklessness standard. Element 5 reflects the </w:t>
      </w:r>
      <w:r w:rsidRPr="0006075C">
        <w:rPr>
          <w:rFonts w:ascii="Times New Roman" w:hAnsi="Times New Roman" w:cs="Times New Roman"/>
          <w:sz w:val="22"/>
          <w:szCs w:val="22"/>
          <w:u w:val="single"/>
        </w:rPr>
        <w:t>Counterman</w:t>
      </w:r>
      <w:r w:rsidRPr="0006075C">
        <w:rPr>
          <w:rFonts w:ascii="Times New Roman" w:hAnsi="Times New Roman" w:cs="Times New Roman"/>
          <w:sz w:val="22"/>
          <w:szCs w:val="22"/>
        </w:rPr>
        <w:t xml:space="preserve"> standard as the constitutionally required minimum </w:t>
      </w:r>
      <w:proofErr w:type="spellStart"/>
      <w:r w:rsidRPr="0006075C">
        <w:rPr>
          <w:rFonts w:ascii="Times New Roman" w:hAnsi="Times New Roman" w:cs="Times New Roman"/>
          <w:sz w:val="22"/>
          <w:szCs w:val="22"/>
        </w:rPr>
        <w:t>mens</w:t>
      </w:r>
      <w:proofErr w:type="spellEnd"/>
      <w:r w:rsidRPr="0006075C">
        <w:rPr>
          <w:rFonts w:ascii="Times New Roman" w:hAnsi="Times New Roman" w:cs="Times New Roman"/>
          <w:sz w:val="22"/>
          <w:szCs w:val="22"/>
        </w:rPr>
        <w:t xml:space="preserve"> rea for true-threat prosecutions.</w:t>
      </w:r>
    </w:p>
    <w:p w14:paraId="58A4ECD5" w14:textId="77777777" w:rsidR="00F57B81" w:rsidRPr="0006075C" w:rsidRDefault="00F57B81" w:rsidP="00F57B81">
      <w:pPr>
        <w:pStyle w:val="EndnoteText"/>
        <w:rPr>
          <w:rFonts w:ascii="Times New Roman" w:hAnsi="Times New Roman" w:cs="Times New Roman"/>
          <w:sz w:val="22"/>
          <w:szCs w:val="22"/>
        </w:rPr>
      </w:pPr>
    </w:p>
  </w:endnote>
  <w:endnote w:id="4">
    <w:p w14:paraId="0021FAE0" w14:textId="42389A67" w:rsidR="00D1295F" w:rsidRPr="0006075C" w:rsidRDefault="00D1295F" w:rsidP="00D1295F">
      <w:pPr>
        <w:tabs>
          <w:tab w:val="left" w:pos="900"/>
        </w:tabs>
        <w:ind w:firstLine="450"/>
        <w:jc w:val="both"/>
        <w:rPr>
          <w:rFonts w:ascii="Times New Roman" w:hAnsi="Times New Roman" w:cs="Times New Roman"/>
        </w:rPr>
      </w:pPr>
      <w:r w:rsidRPr="0006075C">
        <w:rPr>
          <w:rFonts w:ascii="Times New Roman" w:hAnsi="Times New Roman" w:cs="Times New Roman"/>
        </w:rPr>
        <w:endnoteRef/>
      </w:r>
      <w:r w:rsidRPr="0006075C">
        <w:rPr>
          <w:rFonts w:ascii="Times New Roman" w:hAnsi="Times New Roman" w:cs="Times New Roman"/>
        </w:rPr>
        <w:t>.</w:t>
      </w:r>
      <w:r w:rsidRPr="0006075C">
        <w:rPr>
          <w:rFonts w:ascii="Times New Roman" w:hAnsi="Times New Roman" w:cs="Times New Roman"/>
        </w:rPr>
        <w:tab/>
      </w:r>
      <w:r w:rsidRPr="0006075C">
        <w:rPr>
          <w:rFonts w:ascii="Times New Roman" w:eastAsia="Times New Roman" w:hAnsi="Times New Roman" w:cs="Times New Roman"/>
        </w:rPr>
        <w:t xml:space="preserve">This definition was originally based on one of the descriptions of “true threat” in </w:t>
      </w:r>
      <w:r w:rsidRPr="0006075C">
        <w:rPr>
          <w:rFonts w:ascii="Times New Roman" w:eastAsia="Times New Roman" w:hAnsi="Times New Roman" w:cs="Times New Roman"/>
          <w:u w:val="single"/>
        </w:rPr>
        <w:t>State v. Perkins</w:t>
      </w:r>
      <w:r w:rsidRPr="0006075C">
        <w:rPr>
          <w:rFonts w:ascii="Times New Roman" w:eastAsia="Times New Roman" w:hAnsi="Times New Roman" w:cs="Times New Roman"/>
        </w:rPr>
        <w:t xml:space="preserve">, 2001 WI 46, </w:t>
      </w:r>
      <w:r w:rsidR="008A3DDB" w:rsidRPr="0006075C">
        <w:rPr>
          <w:rFonts w:ascii="Times New Roman" w:eastAsia="Times New Roman" w:hAnsi="Times New Roman" w:cs="Times New Roman"/>
        </w:rPr>
        <w:t>¶</w:t>
      </w:r>
      <w:r w:rsidRPr="0006075C">
        <w:rPr>
          <w:rFonts w:ascii="Times New Roman" w:eastAsia="Times New Roman" w:hAnsi="Times New Roman" w:cs="Times New Roman"/>
        </w:rPr>
        <w:t xml:space="preserve">28, 243 Wis.2d 141, 626 N.W.2d 762. </w:t>
      </w:r>
      <w:r w:rsidRPr="0006075C">
        <w:rPr>
          <w:rFonts w:ascii="Times New Roman" w:eastAsia="Times New Roman" w:hAnsi="Times New Roman" w:cs="Times New Roman"/>
          <w:u w:val="single"/>
        </w:rPr>
        <w:t>Perkins</w:t>
      </w:r>
      <w:r w:rsidRPr="0006075C">
        <w:rPr>
          <w:rFonts w:ascii="Times New Roman" w:eastAsia="Times New Roman" w:hAnsi="Times New Roman" w:cs="Times New Roman"/>
        </w:rPr>
        <w:t xml:space="preserve"> held that a jury instruction for a threat to a judge in violation of § 940.203 was an incomplete statement of the law because it did not define “threat” as “true threat.” This created an unacceptable risk that “the jury may have used the common definition of ‘threat,’ thereby violating the defendant’s constitutional right to freedom of speech.” 2001 WI 46, ¶43. The court stated: “The common definition of threat is an expression of an intention to inflict injury on another. The definition of threat for the purposes of the statute criminalizing language is much narrower.” 2001 WI 46, 43.</w:t>
      </w:r>
    </w:p>
    <w:p w14:paraId="1F32BF1B" w14:textId="1578C7B6" w:rsidR="00DA71EA" w:rsidRPr="0006075C" w:rsidRDefault="00D1295F" w:rsidP="00DA71EA">
      <w:pPr>
        <w:spacing w:after="0" w:line="240" w:lineRule="auto"/>
        <w:ind w:firstLine="450"/>
        <w:jc w:val="both"/>
        <w:rPr>
          <w:rFonts w:ascii="Times New Roman" w:eastAsia="Calibri" w:hAnsi="Times New Roman" w:cs="Times New Roman"/>
        </w:rPr>
      </w:pPr>
      <w:r w:rsidRPr="0006075C">
        <w:rPr>
          <w:rFonts w:ascii="Times New Roman" w:eastAsia="Calibri" w:hAnsi="Times New Roman" w:cs="Times New Roman"/>
        </w:rPr>
        <w:t xml:space="preserve">In </w:t>
      </w:r>
      <w:r w:rsidRPr="0006075C">
        <w:rPr>
          <w:rFonts w:ascii="Times New Roman" w:eastAsia="Calibri" w:hAnsi="Times New Roman" w:cs="Times New Roman"/>
          <w:u w:val="single"/>
        </w:rPr>
        <w:t>Counterman v. Colorado</w:t>
      </w:r>
      <w:r w:rsidRPr="0006075C">
        <w:rPr>
          <w:rFonts w:ascii="Times New Roman" w:eastAsia="Calibri" w:hAnsi="Times New Roman" w:cs="Times New Roman"/>
        </w:rPr>
        <w:t xml:space="preserve">, 600 U.S. 66, 79, 143 S. Ct. 2106 (2023), the U.S. Supreme Court clarified that true threats must be evaluated based on their objective content—how a reasonable listener would perceive them—and that criminal liability requires a </w:t>
      </w:r>
      <w:proofErr w:type="spellStart"/>
      <w:r w:rsidRPr="0006075C">
        <w:rPr>
          <w:rFonts w:ascii="Times New Roman" w:eastAsia="Calibri" w:hAnsi="Times New Roman" w:cs="Times New Roman"/>
        </w:rPr>
        <w:t>mens</w:t>
      </w:r>
      <w:proofErr w:type="spellEnd"/>
      <w:r w:rsidRPr="0006075C">
        <w:rPr>
          <w:rFonts w:ascii="Times New Roman" w:eastAsia="Calibri" w:hAnsi="Times New Roman" w:cs="Times New Roman"/>
        </w:rPr>
        <w:t xml:space="preserve"> rea of at least recklessness, meaning the speaker must have “consciously disregarded a substantial risk that [the communications] would be viewed as threatening violence.” </w:t>
      </w:r>
      <w:r w:rsidR="00DA71EA" w:rsidRPr="0006075C">
        <w:rPr>
          <w:rFonts w:ascii="Times New Roman" w:eastAsia="Calibri" w:hAnsi="Times New Roman" w:cs="Times New Roman"/>
        </w:rPr>
        <w:t xml:space="preserve">The Wisconsin Supreme Court adopted the </w:t>
      </w:r>
      <w:r w:rsidR="00DA71EA" w:rsidRPr="0006075C">
        <w:rPr>
          <w:rFonts w:ascii="Times New Roman" w:eastAsia="Calibri" w:hAnsi="Times New Roman" w:cs="Times New Roman"/>
          <w:u w:val="single"/>
        </w:rPr>
        <w:t>Counterman</w:t>
      </w:r>
      <w:r w:rsidR="00DA71EA" w:rsidRPr="0006075C">
        <w:rPr>
          <w:rFonts w:ascii="Times New Roman" w:eastAsia="Calibri" w:hAnsi="Times New Roman" w:cs="Times New Roman"/>
        </w:rPr>
        <w:t xml:space="preserve"> recklessness standard in </w:t>
      </w:r>
      <w:proofErr w:type="spellStart"/>
      <w:r w:rsidR="00DA71EA" w:rsidRPr="0006075C">
        <w:rPr>
          <w:rFonts w:ascii="Times New Roman" w:eastAsia="Calibri" w:hAnsi="Times New Roman" w:cs="Times New Roman"/>
          <w:u w:val="single"/>
        </w:rPr>
        <w:t>Kindschy</w:t>
      </w:r>
      <w:proofErr w:type="spellEnd"/>
      <w:r w:rsidR="00DA71EA" w:rsidRPr="0006075C">
        <w:rPr>
          <w:rFonts w:ascii="Times New Roman" w:eastAsia="Calibri" w:hAnsi="Times New Roman" w:cs="Times New Roman"/>
          <w:u w:val="single"/>
        </w:rPr>
        <w:t xml:space="preserve"> v. </w:t>
      </w:r>
      <w:proofErr w:type="spellStart"/>
      <w:r w:rsidR="00DA71EA" w:rsidRPr="0006075C">
        <w:rPr>
          <w:rFonts w:ascii="Times New Roman" w:eastAsia="Calibri" w:hAnsi="Times New Roman" w:cs="Times New Roman"/>
          <w:u w:val="single"/>
        </w:rPr>
        <w:t>Aish</w:t>
      </w:r>
      <w:proofErr w:type="spellEnd"/>
      <w:r w:rsidR="00DA71EA" w:rsidRPr="0006075C">
        <w:rPr>
          <w:rFonts w:ascii="Times New Roman" w:eastAsia="Calibri" w:hAnsi="Times New Roman" w:cs="Times New Roman"/>
        </w:rPr>
        <w:t xml:space="preserve">, </w:t>
      </w:r>
      <w:r w:rsidR="00DA71EA" w:rsidRPr="0006075C">
        <w:rPr>
          <w:rFonts w:ascii="Times New Roman" w:eastAsia="Calibri" w:hAnsi="Times New Roman" w:cs="Times New Roman"/>
          <w:u w:val="single"/>
        </w:rPr>
        <w:t>supra</w:t>
      </w:r>
      <w:r w:rsidR="00DA71EA" w:rsidRPr="0006075C">
        <w:rPr>
          <w:rFonts w:ascii="Times New Roman" w:eastAsia="Calibri" w:hAnsi="Times New Roman" w:cs="Times New Roman"/>
        </w:rPr>
        <w:t xml:space="preserve">, at ¶¶14–15, abrogating the purely speaker-focused objective test previously employed under </w:t>
      </w:r>
      <w:r w:rsidR="00DA71EA" w:rsidRPr="0006075C">
        <w:rPr>
          <w:rFonts w:ascii="Times New Roman" w:eastAsia="Calibri" w:hAnsi="Times New Roman" w:cs="Times New Roman"/>
          <w:u w:val="single"/>
        </w:rPr>
        <w:t>Perkins</w:t>
      </w:r>
      <w:r w:rsidR="00DA71EA" w:rsidRPr="0006075C">
        <w:rPr>
          <w:rFonts w:ascii="Times New Roman" w:eastAsia="Calibri" w:hAnsi="Times New Roman" w:cs="Times New Roman"/>
        </w:rPr>
        <w:t xml:space="preserve">. Accordingly, the Committee revised the former </w:t>
      </w:r>
      <w:r w:rsidR="00DA71EA" w:rsidRPr="0006075C">
        <w:rPr>
          <w:rFonts w:ascii="Times New Roman" w:eastAsia="Calibri" w:hAnsi="Times New Roman" w:cs="Times New Roman"/>
          <w:u w:val="single"/>
        </w:rPr>
        <w:t>Perkins</w:t>
      </w:r>
      <w:r w:rsidR="00DA71EA" w:rsidRPr="0006075C">
        <w:rPr>
          <w:rFonts w:ascii="Times New Roman" w:eastAsia="Calibri" w:hAnsi="Times New Roman" w:cs="Times New Roman"/>
        </w:rPr>
        <w:t xml:space="preserve">–based definition to reflect the </w:t>
      </w:r>
      <w:r w:rsidR="00DA71EA" w:rsidRPr="0006075C">
        <w:rPr>
          <w:rFonts w:ascii="Times New Roman" w:eastAsia="Calibri" w:hAnsi="Times New Roman" w:cs="Times New Roman"/>
          <w:u w:val="single"/>
        </w:rPr>
        <w:t>Counterman/</w:t>
      </w:r>
      <w:proofErr w:type="spellStart"/>
      <w:r w:rsidR="00DA71EA" w:rsidRPr="0006075C">
        <w:rPr>
          <w:rFonts w:ascii="Times New Roman" w:eastAsia="Calibri" w:hAnsi="Times New Roman" w:cs="Times New Roman"/>
          <w:u w:val="single"/>
        </w:rPr>
        <w:t>Kindschy</w:t>
      </w:r>
      <w:proofErr w:type="spellEnd"/>
      <w:r w:rsidR="00DA71EA" w:rsidRPr="0006075C">
        <w:rPr>
          <w:rFonts w:ascii="Times New Roman" w:eastAsia="Calibri" w:hAnsi="Times New Roman" w:cs="Times New Roman"/>
        </w:rPr>
        <w:t xml:space="preserve"> approach.</w:t>
      </w:r>
    </w:p>
    <w:p w14:paraId="0E2E4810" w14:textId="77777777" w:rsidR="00D1295F" w:rsidRPr="0006075C" w:rsidRDefault="00D1295F" w:rsidP="00D1295F">
      <w:pPr>
        <w:spacing w:after="0" w:line="240" w:lineRule="auto"/>
        <w:jc w:val="both"/>
        <w:rPr>
          <w:rFonts w:ascii="Times New Roman" w:eastAsia="Calibri" w:hAnsi="Times New Roman" w:cs="Times New Roman"/>
        </w:rPr>
      </w:pPr>
    </w:p>
    <w:p w14:paraId="208F4D94" w14:textId="790CDA8B" w:rsidR="00D1295F" w:rsidRPr="0006075C" w:rsidRDefault="00D1295F" w:rsidP="00D1295F">
      <w:pPr>
        <w:spacing w:after="0" w:line="240" w:lineRule="auto"/>
        <w:ind w:firstLine="450"/>
        <w:jc w:val="both"/>
        <w:rPr>
          <w:rFonts w:ascii="Times New Roman" w:eastAsia="Calibri" w:hAnsi="Times New Roman" w:cs="Times New Roman"/>
        </w:rPr>
      </w:pPr>
      <w:r w:rsidRPr="0006075C">
        <w:rPr>
          <w:rFonts w:ascii="Times New Roman" w:eastAsia="Calibri" w:hAnsi="Times New Roman" w:cs="Times New Roman"/>
        </w:rPr>
        <w:t>When deciding whether a statement is a true threat, the jury should consider the totality of circumstances. Relevant factors may include whether the threat was conditional; whether it was made directly to a specific person; how the recipient and others reacted; and whether the defendant had made similar statements or had the means to carry out the threat.  The jury may also consider all other facts and context to determine if a statement was a true threat.</w:t>
      </w:r>
      <w:r w:rsidRPr="0006075C">
        <w:rPr>
          <w:rFonts w:ascii="Times New Roman" w:eastAsia="Times New Roman" w:hAnsi="Times New Roman" w:cs="Times New Roman"/>
        </w:rPr>
        <w:t xml:space="preserve"> </w:t>
      </w:r>
      <w:r w:rsidRPr="0006075C">
        <w:rPr>
          <w:rFonts w:ascii="Times New Roman" w:eastAsia="Calibri" w:hAnsi="Times New Roman" w:cs="Times New Roman"/>
        </w:rPr>
        <w:t xml:space="preserve">See </w:t>
      </w:r>
      <w:r w:rsidRPr="0006075C">
        <w:rPr>
          <w:rFonts w:ascii="Times New Roman" w:eastAsia="Calibri" w:hAnsi="Times New Roman" w:cs="Times New Roman"/>
          <w:u w:val="single"/>
        </w:rPr>
        <w:t>Perkins</w:t>
      </w:r>
      <w:r w:rsidRPr="0006075C">
        <w:rPr>
          <w:rFonts w:ascii="Times New Roman" w:eastAsia="Calibri" w:hAnsi="Times New Roman" w:cs="Times New Roman"/>
        </w:rPr>
        <w:t xml:space="preserve">, </w:t>
      </w:r>
      <w:r w:rsidRPr="0006075C">
        <w:rPr>
          <w:rFonts w:ascii="Times New Roman" w:eastAsia="Calibri" w:hAnsi="Times New Roman" w:cs="Times New Roman"/>
          <w:u w:val="single"/>
        </w:rPr>
        <w:t>supra</w:t>
      </w:r>
      <w:r w:rsidRPr="0006075C">
        <w:rPr>
          <w:rFonts w:ascii="Times New Roman" w:eastAsia="Calibri" w:hAnsi="Times New Roman" w:cs="Times New Roman"/>
        </w:rPr>
        <w:t xml:space="preserve">, at ¶ 31, citing </w:t>
      </w:r>
      <w:r w:rsidRPr="009A51D5">
        <w:rPr>
          <w:rFonts w:ascii="Times New Roman" w:eastAsia="Calibri" w:hAnsi="Times New Roman" w:cs="Times New Roman"/>
          <w:u w:val="single"/>
        </w:rPr>
        <w:t>United States v. Hart</w:t>
      </w:r>
      <w:r w:rsidRPr="0006075C">
        <w:rPr>
          <w:rFonts w:ascii="Times New Roman" w:eastAsia="Calibri" w:hAnsi="Times New Roman" w:cs="Times New Roman"/>
        </w:rPr>
        <w:t>, 212 F.3d 1067, 1071 (8th Cir. 2000).</w:t>
      </w:r>
    </w:p>
    <w:p w14:paraId="349FF059" w14:textId="77777777" w:rsidR="00D1295F" w:rsidRPr="0006075C" w:rsidRDefault="00D1295F" w:rsidP="00D1295F">
      <w:pPr>
        <w:widowControl w:val="0"/>
        <w:autoSpaceDE w:val="0"/>
        <w:autoSpaceDN w:val="0"/>
        <w:adjustRightInd w:val="0"/>
        <w:spacing w:after="0" w:line="240" w:lineRule="auto"/>
        <w:jc w:val="both"/>
        <w:rPr>
          <w:rFonts w:ascii="Times New Roman" w:eastAsia="Times New Roman" w:hAnsi="Times New Roman" w:cs="Times New Roman"/>
        </w:rPr>
      </w:pPr>
    </w:p>
    <w:p w14:paraId="76D4480B" w14:textId="77777777" w:rsidR="00D1295F" w:rsidRPr="0006075C" w:rsidRDefault="00D1295F" w:rsidP="00D1295F">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06075C">
        <w:rPr>
          <w:rFonts w:ascii="Times New Roman" w:eastAsia="Times New Roman" w:hAnsi="Times New Roman" w:cs="Times New Roman"/>
          <w:u w:val="single"/>
        </w:rPr>
        <w:t>Perkins</w:t>
      </w:r>
      <w:r w:rsidRPr="0006075C">
        <w:rPr>
          <w:rFonts w:ascii="Times New Roman" w:eastAsia="Times New Roman" w:hAnsi="Times New Roman" w:cs="Times New Roman"/>
        </w:rPr>
        <w:t xml:space="preserve"> involved an orally communicated threat. The instruction is drafted more broadly to be applicable whether the threat is communicated orally, in writing, or by conduct.</w:t>
      </w:r>
    </w:p>
    <w:p w14:paraId="48DCB34D" w14:textId="77777777" w:rsidR="00D1295F" w:rsidRPr="0006075C" w:rsidRDefault="00D1295F" w:rsidP="00D1295F">
      <w:pPr>
        <w:widowControl w:val="0"/>
        <w:autoSpaceDE w:val="0"/>
        <w:autoSpaceDN w:val="0"/>
        <w:adjustRightInd w:val="0"/>
        <w:spacing w:after="0" w:line="240" w:lineRule="auto"/>
        <w:jc w:val="both"/>
        <w:rPr>
          <w:rFonts w:ascii="Times New Roman" w:eastAsia="Times New Roman" w:hAnsi="Times New Roman" w:cs="Times New Roman"/>
        </w:rPr>
      </w:pPr>
    </w:p>
    <w:p w14:paraId="55D75AA0" w14:textId="77777777" w:rsidR="00D1295F" w:rsidRPr="0006075C" w:rsidRDefault="00D1295F" w:rsidP="00D1295F">
      <w:pPr>
        <w:widowControl w:val="0"/>
        <w:autoSpaceDE w:val="0"/>
        <w:autoSpaceDN w:val="0"/>
        <w:adjustRightInd w:val="0"/>
        <w:spacing w:after="0" w:line="240" w:lineRule="auto"/>
        <w:ind w:firstLine="450"/>
        <w:jc w:val="both"/>
        <w:rPr>
          <w:rFonts w:ascii="Times New Roman" w:eastAsia="Times New Roman" w:hAnsi="Times New Roman" w:cs="Times New Roman"/>
          <w:strike/>
        </w:rPr>
      </w:pPr>
      <w:r w:rsidRPr="0006075C">
        <w:rPr>
          <w:rFonts w:ascii="Times New Roman" w:eastAsia="Times New Roman" w:hAnsi="Times New Roman" w:cs="Times New Roman"/>
        </w:rPr>
        <w:t xml:space="preserve">In </w:t>
      </w:r>
      <w:r w:rsidRPr="0006075C">
        <w:rPr>
          <w:rFonts w:ascii="Times New Roman" w:eastAsia="Times New Roman" w:hAnsi="Times New Roman" w:cs="Times New Roman"/>
          <w:u w:val="single"/>
        </w:rPr>
        <w:t>Elonis v. United States</w:t>
      </w:r>
      <w:r w:rsidRPr="0006075C">
        <w:rPr>
          <w:rFonts w:ascii="Times New Roman" w:eastAsia="Times New Roman" w:hAnsi="Times New Roman" w:cs="Times New Roman"/>
        </w:rPr>
        <w:t xml:space="preserve">, 575 U.S. 723, 135 </w:t>
      </w:r>
      <w:proofErr w:type="spellStart"/>
      <w:r w:rsidRPr="0006075C">
        <w:rPr>
          <w:rFonts w:ascii="Times New Roman" w:eastAsia="Times New Roman" w:hAnsi="Times New Roman" w:cs="Times New Roman"/>
        </w:rPr>
        <w:t>S.Ct</w:t>
      </w:r>
      <w:proofErr w:type="spellEnd"/>
      <w:r w:rsidRPr="0006075C">
        <w:rPr>
          <w:rFonts w:ascii="Times New Roman" w:eastAsia="Times New Roman" w:hAnsi="Times New Roman" w:cs="Times New Roman"/>
        </w:rPr>
        <w:t xml:space="preserve">. 2001 (2015), the United States Supreme Court interpreted a federal statute making it a crime to transmit in interstate commerce “any communication containing any threat … to injure the person of another.” 18 USC § 875(c). Because the statute was not clear as to what mental state was required, there was a split in the federal circuits on that issue. Elonis was convicted under instructions that required the jury to find that he communicated what a reasonable person would regard as a threat. The Supreme Court concluded that this was not sufficient: “Federal criminal liability generally does not turn solely on the results of an act without considering the defendant’s mental state.” The decision did not specify what mental state is required. </w:t>
      </w:r>
      <w:bookmarkStart w:id="0" w:name="_Hlk221297099"/>
      <w:r w:rsidRPr="0006075C">
        <w:rPr>
          <w:rFonts w:ascii="Times New Roman" w:eastAsia="Times New Roman" w:hAnsi="Times New Roman" w:cs="Times New Roman"/>
        </w:rPr>
        <w:t xml:space="preserve">Although </w:t>
      </w:r>
      <w:r w:rsidRPr="0006075C">
        <w:rPr>
          <w:rFonts w:ascii="Times New Roman" w:eastAsia="Times New Roman" w:hAnsi="Times New Roman" w:cs="Times New Roman"/>
          <w:u w:val="single"/>
        </w:rPr>
        <w:t>Elonis</w:t>
      </w:r>
      <w:r w:rsidRPr="0006075C">
        <w:rPr>
          <w:rFonts w:ascii="Times New Roman" w:eastAsia="Times New Roman" w:hAnsi="Times New Roman" w:cs="Times New Roman"/>
        </w:rPr>
        <w:t xml:space="preserve"> was decided as a matter of federal statutory interpretation, it underscores that criminal “threat” liability should not rest solely on an objective reasonable-person standard. This instruction’s definition of “true threat” includes both an objective reasonable-listener component and the </w:t>
      </w:r>
      <w:proofErr w:type="spellStart"/>
      <w:r w:rsidRPr="0006075C">
        <w:rPr>
          <w:rFonts w:ascii="Times New Roman" w:eastAsia="Times New Roman" w:hAnsi="Times New Roman" w:cs="Times New Roman"/>
        </w:rPr>
        <w:t>mens</w:t>
      </w:r>
      <w:proofErr w:type="spellEnd"/>
      <w:r w:rsidRPr="0006075C">
        <w:rPr>
          <w:rFonts w:ascii="Times New Roman" w:eastAsia="Times New Roman" w:hAnsi="Times New Roman" w:cs="Times New Roman"/>
        </w:rPr>
        <w:t xml:space="preserve"> rea floor required by the First Amendment under </w:t>
      </w:r>
      <w:r w:rsidRPr="0006075C">
        <w:rPr>
          <w:rFonts w:ascii="Times New Roman" w:eastAsia="Times New Roman" w:hAnsi="Times New Roman" w:cs="Times New Roman"/>
          <w:u w:val="single"/>
        </w:rPr>
        <w:t>Counterman</w:t>
      </w:r>
      <w:r w:rsidRPr="0006075C">
        <w:rPr>
          <w:rFonts w:ascii="Times New Roman" w:eastAsia="Times New Roman" w:hAnsi="Times New Roman" w:cs="Times New Roman"/>
        </w:rPr>
        <w:t xml:space="preserve"> and </w:t>
      </w:r>
      <w:proofErr w:type="spellStart"/>
      <w:r w:rsidRPr="0006075C">
        <w:rPr>
          <w:rFonts w:ascii="Times New Roman" w:eastAsia="Times New Roman" w:hAnsi="Times New Roman" w:cs="Times New Roman"/>
          <w:u w:val="single"/>
        </w:rPr>
        <w:t>Kindschy</w:t>
      </w:r>
      <w:proofErr w:type="spellEnd"/>
      <w:r w:rsidRPr="0006075C">
        <w:rPr>
          <w:rFonts w:ascii="Times New Roman" w:eastAsia="Times New Roman" w:hAnsi="Times New Roman" w:cs="Times New Roman"/>
        </w:rPr>
        <w:t>—that the defendant consciously disregarded a substantial risk that others would view the statement as threatening violence.</w:t>
      </w:r>
    </w:p>
    <w:bookmarkEnd w:id="0"/>
    <w:p w14:paraId="51825B01" w14:textId="77777777" w:rsidR="00D1295F" w:rsidRPr="0006075C" w:rsidRDefault="00D1295F">
      <w:pPr>
        <w:pStyle w:val="EndnoteText"/>
        <w:rPr>
          <w:rFonts w:ascii="Times New Roman" w:hAnsi="Times New Roman" w:cs="Times New Roman"/>
          <w:sz w:val="22"/>
          <w:szCs w:val="22"/>
        </w:rPr>
      </w:pPr>
    </w:p>
  </w:endnote>
  <w:endnote w:id="5">
    <w:p w14:paraId="0996E074" w14:textId="23FCA48D" w:rsidR="00D1295F" w:rsidRPr="0006075C" w:rsidRDefault="00D1295F" w:rsidP="00D1295F">
      <w:pPr>
        <w:pStyle w:val="EndnoteText"/>
        <w:tabs>
          <w:tab w:val="left" w:pos="900"/>
        </w:tabs>
        <w:ind w:firstLine="450"/>
        <w:rPr>
          <w:rFonts w:ascii="Times New Roman" w:hAnsi="Times New Roman" w:cs="Times New Roman"/>
          <w:sz w:val="22"/>
          <w:szCs w:val="22"/>
        </w:rPr>
      </w:pPr>
      <w:r w:rsidRPr="0006075C">
        <w:rPr>
          <w:rFonts w:ascii="Times New Roman" w:hAnsi="Times New Roman" w:cs="Times New Roman"/>
          <w:sz w:val="22"/>
          <w:szCs w:val="22"/>
        </w:rPr>
        <w:endnoteRef/>
      </w:r>
      <w:r w:rsidRPr="0006075C">
        <w:rPr>
          <w:rFonts w:ascii="Times New Roman" w:hAnsi="Times New Roman" w:cs="Times New Roman"/>
          <w:sz w:val="22"/>
          <w:szCs w:val="22"/>
        </w:rPr>
        <w:t xml:space="preserve">. </w:t>
      </w:r>
      <w:r w:rsidRPr="0006075C">
        <w:rPr>
          <w:rFonts w:ascii="Times New Roman" w:hAnsi="Times New Roman" w:cs="Times New Roman"/>
          <w:sz w:val="22"/>
          <w:szCs w:val="22"/>
        </w:rPr>
        <w:tab/>
        <w:t>This is the definition of “bodily harm” provided in § 939.22(4).</w:t>
      </w:r>
    </w:p>
    <w:p w14:paraId="2E4171EA" w14:textId="77777777" w:rsidR="00D1295F" w:rsidRPr="0006075C" w:rsidRDefault="00D1295F" w:rsidP="00D1295F">
      <w:pPr>
        <w:pStyle w:val="EndnoteText"/>
        <w:tabs>
          <w:tab w:val="left" w:pos="900"/>
        </w:tabs>
        <w:ind w:firstLine="450"/>
        <w:rPr>
          <w:rFonts w:ascii="Times New Roman" w:hAnsi="Times New Roman" w:cs="Times New Roman"/>
          <w:sz w:val="22"/>
          <w:szCs w:val="22"/>
        </w:rPr>
      </w:pPr>
    </w:p>
  </w:endnote>
  <w:endnote w:id="6">
    <w:p w14:paraId="6DACCFEC" w14:textId="51C2A2DE" w:rsidR="00C36107" w:rsidRPr="0006075C" w:rsidRDefault="00D1295F" w:rsidP="00C36107">
      <w:pPr>
        <w:pStyle w:val="EndnoteText"/>
        <w:tabs>
          <w:tab w:val="left" w:pos="900"/>
        </w:tabs>
        <w:ind w:firstLine="450"/>
        <w:jc w:val="both"/>
        <w:rPr>
          <w:rFonts w:ascii="Times New Roman" w:eastAsia="Times New Roman" w:hAnsi="Times New Roman" w:cs="Times New Roman"/>
          <w:sz w:val="22"/>
          <w:szCs w:val="22"/>
        </w:rPr>
      </w:pPr>
      <w:r w:rsidRPr="0006075C">
        <w:rPr>
          <w:rFonts w:ascii="Times New Roman" w:hAnsi="Times New Roman" w:cs="Times New Roman"/>
          <w:sz w:val="22"/>
          <w:szCs w:val="22"/>
        </w:rPr>
        <w:endnoteRef/>
      </w:r>
      <w:r w:rsidRPr="0006075C">
        <w:rPr>
          <w:rFonts w:ascii="Times New Roman" w:hAnsi="Times New Roman" w:cs="Times New Roman"/>
          <w:sz w:val="22"/>
          <w:szCs w:val="22"/>
        </w:rPr>
        <w:t xml:space="preserve">. </w:t>
      </w:r>
      <w:r w:rsidRPr="0006075C">
        <w:rPr>
          <w:rFonts w:ascii="Times New Roman" w:hAnsi="Times New Roman" w:cs="Times New Roman"/>
          <w:sz w:val="22"/>
          <w:szCs w:val="22"/>
        </w:rPr>
        <w:tab/>
      </w:r>
      <w:r w:rsidR="00C36107" w:rsidRPr="0006075C">
        <w:rPr>
          <w:rFonts w:ascii="Times New Roman" w:hAnsi="Times New Roman" w:cs="Times New Roman"/>
          <w:sz w:val="22"/>
          <w:szCs w:val="22"/>
        </w:rPr>
        <w:t>Section 947.016(1) provides that the threat must be “because of or in response to any action taken by the person in an official capacity or in a legal proceeding.” Although both alternatives are included in § 947.016(1) because the subsection applies to a broad list of protected persons, in juror cases the “legal proceeding” alternative will ordinarily describe the relevant conduct.</w:t>
      </w:r>
    </w:p>
    <w:p w14:paraId="0F5CB221" w14:textId="77777777" w:rsidR="00D1295F" w:rsidRPr="0006075C" w:rsidRDefault="00D1295F" w:rsidP="00D1295F">
      <w:pPr>
        <w:pStyle w:val="EndnoteText"/>
        <w:jc w:val="both"/>
        <w:rPr>
          <w:rFonts w:ascii="Times New Roman" w:hAnsi="Times New Roman" w:cs="Times New Roman"/>
          <w:sz w:val="22"/>
          <w:szCs w:val="22"/>
        </w:rPr>
      </w:pPr>
    </w:p>
  </w:endnote>
  <w:endnote w:id="7">
    <w:p w14:paraId="50C4D199" w14:textId="10883E8F" w:rsidR="00D926EA" w:rsidRPr="0006075C" w:rsidRDefault="00D926EA" w:rsidP="00D926EA">
      <w:pPr>
        <w:pStyle w:val="NoSpacing"/>
        <w:tabs>
          <w:tab w:val="left" w:pos="900"/>
        </w:tabs>
        <w:ind w:firstLine="450"/>
        <w:jc w:val="both"/>
        <w:rPr>
          <w:rFonts w:ascii="Times New Roman" w:hAnsi="Times New Roman" w:cs="Times New Roman"/>
        </w:rPr>
      </w:pPr>
      <w:r w:rsidRPr="0006075C">
        <w:rPr>
          <w:rFonts w:ascii="Times New Roman" w:hAnsi="Times New Roman" w:cs="Times New Roman"/>
        </w:rPr>
        <w:endnoteRef/>
      </w:r>
      <w:r w:rsidRPr="0006075C">
        <w:rPr>
          <w:rFonts w:ascii="Times New Roman" w:hAnsi="Times New Roman" w:cs="Times New Roman"/>
        </w:rPr>
        <w:t xml:space="preserve">. </w:t>
      </w:r>
      <w:r w:rsidRPr="0006075C">
        <w:rPr>
          <w:rFonts w:ascii="Times New Roman" w:hAnsi="Times New Roman" w:cs="Times New Roman"/>
        </w:rPr>
        <w:tab/>
        <w:t>Recklessness requires a subjective mental state: the defendant must actually (in his or her own mind) be aware of the risk created by the conduct. The statutory definition of “recklessness” clarifies that subjective awareness of the risk is required. See</w:t>
      </w:r>
      <w:r w:rsidR="00A23730" w:rsidRPr="0006075C">
        <w:rPr>
          <w:rFonts w:ascii="Times New Roman" w:hAnsi="Times New Roman" w:cs="Times New Roman"/>
        </w:rPr>
        <w:t xml:space="preserve"> </w:t>
      </w:r>
      <w:r w:rsidRPr="0006075C">
        <w:rPr>
          <w:rFonts w:ascii="Times New Roman" w:hAnsi="Times New Roman" w:cs="Times New Roman"/>
        </w:rPr>
        <w:t>Wis. Stat. § 939.24</w:t>
      </w:r>
      <w:r w:rsidR="008A3DDB">
        <w:rPr>
          <w:rFonts w:ascii="Times New Roman" w:hAnsi="Times New Roman" w:cs="Times New Roman"/>
        </w:rPr>
        <w:t>.</w:t>
      </w:r>
    </w:p>
    <w:p w14:paraId="31766530" w14:textId="77777777" w:rsidR="00D926EA" w:rsidRPr="0006075C" w:rsidRDefault="00D926EA" w:rsidP="00D926EA">
      <w:pPr>
        <w:pStyle w:val="NoSpacing"/>
        <w:jc w:val="both"/>
      </w:pPr>
    </w:p>
  </w:endnote>
  <w:endnote w:id="8">
    <w:p w14:paraId="265280E5" w14:textId="247CC2CB" w:rsidR="002474C1" w:rsidRPr="0006075C" w:rsidRDefault="002474C1" w:rsidP="002474C1">
      <w:pPr>
        <w:pStyle w:val="EndnoteText"/>
        <w:tabs>
          <w:tab w:val="left" w:pos="900"/>
        </w:tabs>
        <w:ind w:firstLine="450"/>
        <w:rPr>
          <w:rFonts w:ascii="Times New Roman" w:hAnsi="Times New Roman" w:cs="Times New Roman"/>
          <w:sz w:val="22"/>
          <w:szCs w:val="22"/>
        </w:rPr>
      </w:pPr>
      <w:r w:rsidRPr="0006075C">
        <w:rPr>
          <w:rFonts w:ascii="Times New Roman" w:hAnsi="Times New Roman" w:cs="Times New Roman"/>
          <w:sz w:val="22"/>
          <w:szCs w:val="22"/>
        </w:rPr>
        <w:endnoteRef/>
      </w:r>
      <w:r w:rsidRPr="0006075C">
        <w:rPr>
          <w:rFonts w:ascii="Times New Roman" w:hAnsi="Times New Roman" w:cs="Times New Roman"/>
          <w:sz w:val="22"/>
          <w:szCs w:val="22"/>
        </w:rPr>
        <w:t xml:space="preserve">. </w:t>
      </w:r>
      <w:r w:rsidRPr="0006075C">
        <w:rPr>
          <w:rFonts w:ascii="Times New Roman" w:hAnsi="Times New Roman" w:cs="Times New Roman"/>
          <w:sz w:val="22"/>
          <w:szCs w:val="22"/>
        </w:rPr>
        <w:tab/>
        <w:t xml:space="preserve">See </w:t>
      </w:r>
      <w:r w:rsidRPr="0006075C">
        <w:rPr>
          <w:rFonts w:ascii="Times New Roman" w:hAnsi="Times New Roman" w:cs="Times New Roman"/>
          <w:sz w:val="22"/>
          <w:szCs w:val="22"/>
          <w:u w:val="single"/>
        </w:rPr>
        <w:t>Counterman v. Colorado</w:t>
      </w:r>
      <w:r w:rsidRPr="0006075C">
        <w:rPr>
          <w:rFonts w:ascii="Times New Roman" w:hAnsi="Times New Roman" w:cs="Times New Roman"/>
          <w:sz w:val="22"/>
          <w:szCs w:val="22"/>
        </w:rPr>
        <w:t xml:space="preserve">, See 600 U.S. 66, supra, at 79. </w:t>
      </w:r>
    </w:p>
    <w:p w14:paraId="6149BE29" w14:textId="77777777" w:rsidR="00F65B66" w:rsidRPr="0006075C" w:rsidRDefault="00F65B66" w:rsidP="002474C1">
      <w:pPr>
        <w:pStyle w:val="EndnoteText"/>
        <w:tabs>
          <w:tab w:val="left" w:pos="900"/>
        </w:tabs>
        <w:ind w:firstLine="450"/>
        <w:rPr>
          <w:rFonts w:ascii="Times New Roman" w:hAnsi="Times New Roman" w:cs="Times New Roman"/>
          <w:sz w:val="22"/>
          <w:szCs w:val="22"/>
        </w:rPr>
      </w:pPr>
    </w:p>
  </w:endnote>
  <w:endnote w:id="9">
    <w:p w14:paraId="569DCE88" w14:textId="18015CDF" w:rsidR="00D1295F" w:rsidRPr="0006075C" w:rsidRDefault="00D1295F" w:rsidP="00D1295F">
      <w:pPr>
        <w:pStyle w:val="EndnoteText"/>
        <w:tabs>
          <w:tab w:val="left" w:pos="900"/>
        </w:tabs>
        <w:ind w:firstLine="450"/>
        <w:jc w:val="both"/>
        <w:rPr>
          <w:rFonts w:ascii="Times New Roman" w:hAnsi="Times New Roman" w:cs="Times New Roman"/>
          <w:sz w:val="22"/>
          <w:szCs w:val="22"/>
        </w:rPr>
      </w:pPr>
      <w:r w:rsidRPr="0006075C">
        <w:rPr>
          <w:rFonts w:ascii="Times New Roman" w:hAnsi="Times New Roman" w:cs="Times New Roman"/>
          <w:sz w:val="22"/>
          <w:szCs w:val="22"/>
        </w:rPr>
        <w:endnoteRef/>
      </w:r>
      <w:r w:rsidRPr="0006075C">
        <w:rPr>
          <w:rFonts w:ascii="Times New Roman" w:hAnsi="Times New Roman" w:cs="Times New Roman"/>
          <w:sz w:val="22"/>
          <w:szCs w:val="22"/>
        </w:rPr>
        <w:t xml:space="preserve">. </w:t>
      </w:r>
      <w:r w:rsidRPr="0006075C">
        <w:rPr>
          <w:rFonts w:ascii="Times New Roman" w:hAnsi="Times New Roman" w:cs="Times New Roman"/>
          <w:sz w:val="22"/>
          <w:szCs w:val="22"/>
        </w:rPr>
        <w:tab/>
      </w:r>
      <w:r w:rsidRPr="0006075C">
        <w:rPr>
          <w:rFonts w:ascii="Times New Roman" w:eastAsia="Times New Roman" w:hAnsi="Times New Roman" w:cs="Times New Roman"/>
          <w:sz w:val="22"/>
          <w:szCs w:val="22"/>
        </w:rPr>
        <w:t>If the definition of “without consent” is believed to be necessary, see Wis JI</w:t>
      </w:r>
      <w:r w:rsidR="00A54C48">
        <w:rPr>
          <w:rFonts w:ascii="Times New Roman" w:eastAsia="Times New Roman" w:hAnsi="Times New Roman" w:cs="Times New Roman"/>
          <w:sz w:val="22"/>
          <w:szCs w:val="22"/>
        </w:rPr>
        <w:t>–</w:t>
      </w:r>
      <w:r w:rsidRPr="0006075C">
        <w:rPr>
          <w:rFonts w:ascii="Times New Roman" w:eastAsia="Times New Roman" w:hAnsi="Times New Roman" w:cs="Times New Roman"/>
          <w:sz w:val="22"/>
          <w:szCs w:val="22"/>
        </w:rPr>
        <w:t>Criminal 948, which provides an instruction based on the definition provided in § 939.22(48). That definition provides that “without consent” means “no consent in fact” or that consent was given because of fear, a claim of legal authority by the defendant, or misunderstanding.</w:t>
      </w:r>
    </w:p>
    <w:p w14:paraId="354689FD" w14:textId="77777777" w:rsidR="00D1295F" w:rsidRDefault="00D1295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5A42B" w14:textId="77777777" w:rsidR="00F57B81" w:rsidRDefault="00F57B81" w:rsidP="00F57B81">
    <w:pPr>
      <w:pStyle w:val="Footer"/>
      <w:jc w:val="both"/>
      <w:rPr>
        <w:rFonts w:ascii="Arial" w:hAnsi="Arial" w:cs="Arial"/>
        <w:sz w:val="20"/>
        <w:szCs w:val="20"/>
      </w:rPr>
    </w:pPr>
  </w:p>
  <w:p w14:paraId="54234EBF" w14:textId="1B56D527" w:rsidR="00F57B81" w:rsidRPr="00F57B81" w:rsidRDefault="00F57B81" w:rsidP="00F57B81">
    <w:pPr>
      <w:pStyle w:val="Footer"/>
      <w:jc w:val="both"/>
      <w:rPr>
        <w:rFonts w:ascii="Arial" w:hAnsi="Arial" w:cs="Arial"/>
        <w:sz w:val="20"/>
        <w:szCs w:val="20"/>
      </w:rPr>
    </w:pPr>
    <w:r w:rsidRPr="00F57B81">
      <w:rPr>
        <w:rFonts w:ascii="Arial" w:hAnsi="Arial" w:cs="Arial"/>
        <w:sz w:val="20"/>
        <w:szCs w:val="20"/>
      </w:rPr>
      <w:t xml:space="preserve">Wisconsin Court System, </w:t>
    </w:r>
    <w:r w:rsidR="0006075C">
      <w:rPr>
        <w:rFonts w:ascii="Arial" w:hAnsi="Arial" w:cs="Arial"/>
        <w:sz w:val="20"/>
        <w:szCs w:val="20"/>
      </w:rPr>
      <w:t>7</w:t>
    </w:r>
    <w:r w:rsidRPr="00F57B81">
      <w:rPr>
        <w:rFonts w:ascii="Arial" w:hAnsi="Arial" w:cs="Arial"/>
        <w:sz w:val="20"/>
        <w:szCs w:val="20"/>
      </w:rPr>
      <w:t>/2026</w:t>
    </w:r>
    <w:r w:rsidRPr="00F57B81">
      <w:rPr>
        <w:rFonts w:ascii="Arial" w:hAnsi="Arial" w:cs="Arial"/>
        <w:sz w:val="20"/>
        <w:szCs w:val="20"/>
      </w:rPr>
      <w:tab/>
    </w:r>
    <w:r w:rsidRPr="00F57B81">
      <w:rPr>
        <w:rFonts w:ascii="Arial" w:hAnsi="Arial" w:cs="Arial"/>
        <w:sz w:val="20"/>
        <w:szCs w:val="20"/>
      </w:rPr>
      <w:tab/>
      <w:t>(</w:t>
    </w:r>
    <w:r w:rsidR="0006075C">
      <w:rPr>
        <w:rFonts w:ascii="Arial" w:hAnsi="Arial" w:cs="Arial"/>
        <w:sz w:val="20"/>
        <w:szCs w:val="20"/>
      </w:rPr>
      <w:t>Release No. 71</w:t>
    </w:r>
    <w:r w:rsidRPr="00F57B81">
      <w:rPr>
        <w:rFonts w:ascii="Arial" w:hAnsi="Arial" w:cs="Arial"/>
        <w:sz w:val="20"/>
        <w:szCs w:val="20"/>
      </w:rPr>
      <w:t>)</w:t>
    </w:r>
  </w:p>
  <w:sdt>
    <w:sdtPr>
      <w:rPr>
        <w:rFonts w:ascii="Arial" w:hAnsi="Arial" w:cs="Arial"/>
        <w:sz w:val="20"/>
        <w:szCs w:val="20"/>
      </w:rPr>
      <w:id w:val="1879587025"/>
      <w:docPartObj>
        <w:docPartGallery w:val="Page Numbers (Bottom of Page)"/>
        <w:docPartUnique/>
      </w:docPartObj>
    </w:sdtPr>
    <w:sdtEndPr>
      <w:rPr>
        <w:noProof/>
      </w:rPr>
    </w:sdtEndPr>
    <w:sdtContent>
      <w:p w14:paraId="12197FC1" w14:textId="7E95CE96" w:rsidR="00F57B81" w:rsidRPr="00F57B81" w:rsidRDefault="00F57B81">
        <w:pPr>
          <w:pStyle w:val="Footer"/>
          <w:jc w:val="center"/>
          <w:rPr>
            <w:rFonts w:ascii="Arial" w:hAnsi="Arial" w:cs="Arial"/>
            <w:sz w:val="20"/>
            <w:szCs w:val="20"/>
          </w:rPr>
        </w:pPr>
        <w:r w:rsidRPr="00F57B81">
          <w:rPr>
            <w:rFonts w:ascii="Arial" w:hAnsi="Arial" w:cs="Arial"/>
            <w:sz w:val="20"/>
            <w:szCs w:val="20"/>
          </w:rPr>
          <w:fldChar w:fldCharType="begin"/>
        </w:r>
        <w:r w:rsidRPr="00F57B81">
          <w:rPr>
            <w:rFonts w:ascii="Arial" w:hAnsi="Arial" w:cs="Arial"/>
            <w:sz w:val="20"/>
            <w:szCs w:val="20"/>
          </w:rPr>
          <w:instrText xml:space="preserve"> PAGE   \* MERGEFORMAT </w:instrText>
        </w:r>
        <w:r w:rsidRPr="00F57B81">
          <w:rPr>
            <w:rFonts w:ascii="Arial" w:hAnsi="Arial" w:cs="Arial"/>
            <w:sz w:val="20"/>
            <w:szCs w:val="20"/>
          </w:rPr>
          <w:fldChar w:fldCharType="separate"/>
        </w:r>
        <w:r w:rsidRPr="00F57B81">
          <w:rPr>
            <w:rFonts w:ascii="Arial" w:hAnsi="Arial" w:cs="Arial"/>
            <w:noProof/>
            <w:sz w:val="20"/>
            <w:szCs w:val="20"/>
          </w:rPr>
          <w:t>2</w:t>
        </w:r>
        <w:r w:rsidRPr="00F57B81">
          <w:rPr>
            <w:rFonts w:ascii="Arial" w:hAnsi="Arial" w:cs="Arial"/>
            <w:noProof/>
            <w:sz w:val="20"/>
            <w:szCs w:val="20"/>
          </w:rPr>
          <w:fldChar w:fldCharType="end"/>
        </w:r>
      </w:p>
    </w:sdtContent>
  </w:sdt>
  <w:p w14:paraId="4F7A6BEC" w14:textId="77777777" w:rsidR="00F57B81" w:rsidRDefault="00F57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71175" w14:textId="77777777" w:rsidR="00F57B81" w:rsidRDefault="00F57B81" w:rsidP="00F57B81">
      <w:pPr>
        <w:spacing w:after="0" w:line="240" w:lineRule="auto"/>
      </w:pPr>
      <w:r>
        <w:separator/>
      </w:r>
    </w:p>
  </w:footnote>
  <w:footnote w:type="continuationSeparator" w:id="0">
    <w:p w14:paraId="3B1BD459" w14:textId="77777777" w:rsidR="00F57B81" w:rsidRDefault="00F57B81" w:rsidP="00F57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D74E" w14:textId="77777777" w:rsidR="00F57B81" w:rsidRDefault="00F57B81" w:rsidP="00F57B81">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4C170D32" w14:textId="3B796D10" w:rsidR="00F57B81" w:rsidRDefault="00F57B81" w:rsidP="00F57B81">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1F7E9D">
      <w:rPr>
        <w:rFonts w:ascii="Arial" w:eastAsia="Times New Roman" w:hAnsi="Arial" w:cs="Arial"/>
        <w:b/>
        <w:bCs/>
        <w:sz w:val="28"/>
        <w:szCs w:val="28"/>
      </w:rPr>
      <w:t>123</w:t>
    </w:r>
    <w:r>
      <w:rPr>
        <w:rFonts w:ascii="Arial" w:eastAsia="Times New Roman" w:hAnsi="Arial" w:cs="Arial"/>
        <w:b/>
        <w:bCs/>
        <w:sz w:val="28"/>
        <w:szCs w:val="28"/>
      </w:rPr>
      <w:t>2B</w:t>
    </w:r>
    <w:r w:rsidRPr="001F7E9D">
      <w:rPr>
        <w:rFonts w:ascii="Arial" w:eastAsia="Times New Roman" w:hAnsi="Arial" w:cs="Arial"/>
        <w:b/>
        <w:bCs/>
        <w:sz w:val="28"/>
        <w:szCs w:val="28"/>
      </w:rPr>
      <w:tab/>
      <w:t>WIS JI</w:t>
    </w:r>
    <w:r w:rsidRPr="001F7E9D">
      <w:rPr>
        <w:rFonts w:ascii="Arial" w:eastAsia="Times New Roman" w:hAnsi="Arial" w:cs="Arial"/>
        <w:b/>
        <w:bCs/>
        <w:sz w:val="28"/>
        <w:szCs w:val="28"/>
      </w:rPr>
      <w:noBreakHyphen/>
      <w:t>CRIMINAL</w:t>
    </w:r>
    <w:r w:rsidRPr="001F7E9D">
      <w:rPr>
        <w:rFonts w:ascii="Arial" w:eastAsia="Times New Roman" w:hAnsi="Arial" w:cs="Arial"/>
        <w:b/>
        <w:bCs/>
        <w:sz w:val="28"/>
        <w:szCs w:val="28"/>
      </w:rPr>
      <w:tab/>
      <w:t>123</w:t>
    </w:r>
    <w:r>
      <w:rPr>
        <w:rFonts w:ascii="Arial" w:eastAsia="Times New Roman" w:hAnsi="Arial" w:cs="Arial"/>
        <w:b/>
        <w:bCs/>
        <w:sz w:val="28"/>
        <w:szCs w:val="28"/>
      </w:rPr>
      <w:t>2B</w:t>
    </w:r>
  </w:p>
  <w:p w14:paraId="0D0BA8F4" w14:textId="135D5D81" w:rsidR="00F57B81" w:rsidRDefault="00F57B81" w:rsidP="00F57B81">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FD8CE90" w14:textId="77777777" w:rsidR="00F57B81" w:rsidRPr="00F57B81" w:rsidRDefault="00F57B81" w:rsidP="00F57B81">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55468"/>
    <w:multiLevelType w:val="hybridMultilevel"/>
    <w:tmpl w:val="D5965AF2"/>
    <w:lvl w:ilvl="0" w:tplc="EA381AE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A06824"/>
    <w:multiLevelType w:val="hybridMultilevel"/>
    <w:tmpl w:val="80B2915E"/>
    <w:lvl w:ilvl="0" w:tplc="CCF45244">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6F920950"/>
    <w:multiLevelType w:val="hybridMultilevel"/>
    <w:tmpl w:val="7D2A314C"/>
    <w:lvl w:ilvl="0" w:tplc="EAF65DC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81"/>
    <w:rsid w:val="00060139"/>
    <w:rsid w:val="0006075C"/>
    <w:rsid w:val="000C4097"/>
    <w:rsid w:val="0014276F"/>
    <w:rsid w:val="002474C1"/>
    <w:rsid w:val="002A5304"/>
    <w:rsid w:val="00440034"/>
    <w:rsid w:val="004432B1"/>
    <w:rsid w:val="004E5703"/>
    <w:rsid w:val="005804B8"/>
    <w:rsid w:val="00610D46"/>
    <w:rsid w:val="006A5265"/>
    <w:rsid w:val="006F5D4E"/>
    <w:rsid w:val="00751EC2"/>
    <w:rsid w:val="008A3DDB"/>
    <w:rsid w:val="009365DE"/>
    <w:rsid w:val="009A51D5"/>
    <w:rsid w:val="00A23730"/>
    <w:rsid w:val="00A54C48"/>
    <w:rsid w:val="00A71FA1"/>
    <w:rsid w:val="00AA207F"/>
    <w:rsid w:val="00BA163C"/>
    <w:rsid w:val="00BB1354"/>
    <w:rsid w:val="00C052B1"/>
    <w:rsid w:val="00C156B4"/>
    <w:rsid w:val="00C36107"/>
    <w:rsid w:val="00C433B1"/>
    <w:rsid w:val="00C767CA"/>
    <w:rsid w:val="00CA737F"/>
    <w:rsid w:val="00D1295F"/>
    <w:rsid w:val="00D51917"/>
    <w:rsid w:val="00D926EA"/>
    <w:rsid w:val="00DA71EA"/>
    <w:rsid w:val="00DB3362"/>
    <w:rsid w:val="00DB659A"/>
    <w:rsid w:val="00DE1269"/>
    <w:rsid w:val="00DF1A60"/>
    <w:rsid w:val="00F57B81"/>
    <w:rsid w:val="00F65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FBDA3"/>
  <w15:chartTrackingRefBased/>
  <w15:docId w15:val="{789B381A-0C84-489F-9876-57F0195A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B81"/>
  </w:style>
  <w:style w:type="paragraph" w:styleId="Footer">
    <w:name w:val="footer"/>
    <w:basedOn w:val="Normal"/>
    <w:link w:val="FooterChar"/>
    <w:uiPriority w:val="99"/>
    <w:unhideWhenUsed/>
    <w:rsid w:val="00F57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B81"/>
  </w:style>
  <w:style w:type="paragraph" w:styleId="NoSpacing">
    <w:name w:val="No Spacing"/>
    <w:uiPriority w:val="1"/>
    <w:qFormat/>
    <w:rsid w:val="00F57B81"/>
    <w:pPr>
      <w:spacing w:after="0" w:line="240" w:lineRule="auto"/>
    </w:pPr>
  </w:style>
  <w:style w:type="character" w:styleId="LineNumber">
    <w:name w:val="line number"/>
    <w:basedOn w:val="DefaultParagraphFont"/>
    <w:uiPriority w:val="99"/>
    <w:semiHidden/>
    <w:unhideWhenUsed/>
    <w:rsid w:val="00F57B81"/>
  </w:style>
  <w:style w:type="paragraph" w:styleId="EndnoteText">
    <w:name w:val="endnote text"/>
    <w:basedOn w:val="Normal"/>
    <w:link w:val="EndnoteTextChar"/>
    <w:uiPriority w:val="99"/>
    <w:unhideWhenUsed/>
    <w:rsid w:val="00F57B81"/>
    <w:pPr>
      <w:spacing w:after="0" w:line="240" w:lineRule="auto"/>
    </w:pPr>
    <w:rPr>
      <w:sz w:val="20"/>
      <w:szCs w:val="20"/>
    </w:rPr>
  </w:style>
  <w:style w:type="character" w:customStyle="1" w:styleId="EndnoteTextChar">
    <w:name w:val="Endnote Text Char"/>
    <w:basedOn w:val="DefaultParagraphFont"/>
    <w:link w:val="EndnoteText"/>
    <w:uiPriority w:val="99"/>
    <w:rsid w:val="00F57B81"/>
    <w:rPr>
      <w:sz w:val="20"/>
      <w:szCs w:val="20"/>
    </w:rPr>
  </w:style>
  <w:style w:type="character" w:styleId="EndnoteReference">
    <w:name w:val="endnote reference"/>
    <w:basedOn w:val="DefaultParagraphFont"/>
    <w:uiPriority w:val="99"/>
    <w:semiHidden/>
    <w:unhideWhenUsed/>
    <w:rsid w:val="00F57B81"/>
    <w:rPr>
      <w:vertAlign w:val="superscript"/>
    </w:rPr>
  </w:style>
  <w:style w:type="paragraph" w:styleId="ListParagraph">
    <w:name w:val="List Paragraph"/>
    <w:basedOn w:val="Normal"/>
    <w:uiPriority w:val="34"/>
    <w:qFormat/>
    <w:rsid w:val="00F57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E02B6-8681-433D-8102-BB4B17610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14</cp:revision>
  <dcterms:created xsi:type="dcterms:W3CDTF">2026-07-09T19:10:00Z</dcterms:created>
  <dcterms:modified xsi:type="dcterms:W3CDTF">2026-07-09T19:24:00Z</dcterms:modified>
</cp:coreProperties>
</file>