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0BE8A" w14:textId="70F72C6A" w:rsidR="00B23DCA" w:rsidRDefault="00B23DCA" w:rsidP="00B23DCA">
      <w:pPr>
        <w:pStyle w:val="NoSpacing"/>
        <w:tabs>
          <w:tab w:val="left" w:pos="1080"/>
        </w:tabs>
        <w:ind w:left="1080" w:hanging="1080"/>
        <w:jc w:val="both"/>
        <w:rPr>
          <w:rFonts w:ascii="Times New Roman" w:hAnsi="Times New Roman" w:cs="Times New Roman"/>
          <w:b/>
          <w:bCs/>
          <w:sz w:val="26"/>
          <w:szCs w:val="26"/>
        </w:rPr>
      </w:pPr>
      <w:r w:rsidRPr="009821A5">
        <w:rPr>
          <w:rFonts w:ascii="Times New Roman" w:hAnsi="Times New Roman" w:cs="Times New Roman"/>
          <w:b/>
          <w:bCs/>
          <w:sz w:val="26"/>
          <w:szCs w:val="26"/>
        </w:rPr>
        <w:t>1242A</w:t>
      </w:r>
      <w:r w:rsidRPr="009821A5">
        <w:rPr>
          <w:rFonts w:ascii="Times New Roman" w:hAnsi="Times New Roman" w:cs="Times New Roman"/>
          <w:b/>
          <w:bCs/>
          <w:sz w:val="26"/>
          <w:szCs w:val="26"/>
        </w:rPr>
        <w:tab/>
      </w:r>
      <w:r>
        <w:rPr>
          <w:rFonts w:ascii="Times New Roman" w:hAnsi="Times New Roman" w:cs="Times New Roman"/>
          <w:b/>
          <w:bCs/>
          <w:sz w:val="26"/>
          <w:szCs w:val="26"/>
        </w:rPr>
        <w:t>THREAT</w:t>
      </w:r>
      <w:r w:rsidRPr="009821A5">
        <w:rPr>
          <w:rFonts w:ascii="Times New Roman" w:hAnsi="Times New Roman" w:cs="Times New Roman"/>
          <w:b/>
          <w:bCs/>
          <w:sz w:val="26"/>
          <w:szCs w:val="26"/>
        </w:rPr>
        <w:t xml:space="preserve"> TO A DEPARTMENT OF REVENUE EMPLOYEE OR THEIR FAMILY MEMBER — § 947.016</w:t>
      </w:r>
      <w:r>
        <w:rPr>
          <w:rFonts w:ascii="Times New Roman" w:hAnsi="Times New Roman" w:cs="Times New Roman"/>
          <w:b/>
          <w:bCs/>
          <w:sz w:val="26"/>
          <w:szCs w:val="26"/>
        </w:rPr>
        <w:t>(4)</w:t>
      </w:r>
    </w:p>
    <w:p w14:paraId="067A8941" w14:textId="77777777" w:rsidR="00B23DCA" w:rsidRPr="001E150E" w:rsidRDefault="00B23DCA" w:rsidP="00B23DCA">
      <w:pPr>
        <w:pStyle w:val="NoSpacing"/>
        <w:tabs>
          <w:tab w:val="left" w:pos="1080"/>
        </w:tabs>
        <w:ind w:left="1080" w:hanging="1080"/>
        <w:jc w:val="both"/>
        <w:rPr>
          <w:rFonts w:ascii="Times New Roman" w:hAnsi="Times New Roman" w:cs="Times New Roman"/>
          <w:b/>
          <w:bCs/>
          <w:sz w:val="26"/>
          <w:szCs w:val="26"/>
        </w:rPr>
      </w:pPr>
    </w:p>
    <w:p w14:paraId="0D51CB45" w14:textId="77777777" w:rsidR="00B23DCA" w:rsidRPr="001E150E" w:rsidRDefault="00B23DCA" w:rsidP="00B23DCA">
      <w:pPr>
        <w:pStyle w:val="NoSpacing"/>
        <w:tabs>
          <w:tab w:val="left" w:pos="1080"/>
        </w:tabs>
        <w:ind w:left="1080" w:hanging="1080"/>
        <w:jc w:val="both"/>
        <w:rPr>
          <w:rFonts w:ascii="Times New Roman" w:hAnsi="Times New Roman" w:cs="Times New Roman"/>
          <w:b/>
          <w:bCs/>
          <w:sz w:val="26"/>
          <w:szCs w:val="26"/>
        </w:rPr>
      </w:pPr>
    </w:p>
    <w:p w14:paraId="15EFCCB1" w14:textId="77777777" w:rsidR="00B23DCA" w:rsidRPr="001E150E" w:rsidRDefault="00B23DCA" w:rsidP="00B23DCA">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1E150E">
        <w:rPr>
          <w:rFonts w:ascii="Times New Roman" w:eastAsia="Times New Roman" w:hAnsi="Times New Roman" w:cs="Times New Roman"/>
          <w:b/>
          <w:sz w:val="26"/>
          <w:szCs w:val="26"/>
        </w:rPr>
        <w:t>Statutory Definition of the Crime</w:t>
      </w:r>
    </w:p>
    <w:p w14:paraId="2B8C65BD" w14:textId="3F66A8AE" w:rsidR="00B23DCA" w:rsidRPr="001E150E" w:rsidRDefault="00B23DCA" w:rsidP="00B23DCA">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 xml:space="preserve">Section 947.016(4) of the Criminal Code of Wisconsin is violated by one who threatens to cause bodily harm to the (person) (family member) of any Department of Revenue (official) (employee) (agent) where at the time of the </w:t>
      </w:r>
      <w:r w:rsidR="004207F8" w:rsidRPr="001E150E">
        <w:rPr>
          <w:rFonts w:ascii="Times New Roman" w:eastAsia="Times New Roman" w:hAnsi="Times New Roman" w:cs="Times New Roman"/>
          <w:sz w:val="26"/>
          <w:szCs w:val="26"/>
        </w:rPr>
        <w:t>threat</w:t>
      </w:r>
      <w:r w:rsidRPr="001E150E">
        <w:rPr>
          <w:rFonts w:ascii="Times New Roman" w:eastAsia="Times New Roman" w:hAnsi="Times New Roman" w:cs="Times New Roman"/>
          <w:sz w:val="26"/>
          <w:szCs w:val="26"/>
        </w:rPr>
        <w:t xml:space="preserve">, the person knows, or should have known, that the victim is a (Department of Revenue (official) (employee) (agent)) (family member of a Department of Revenue (official) (employee) (agent)), and (the Department of Revenue (official) (employee) (agent) is acting in an official capacity at the time of the </w:t>
      </w:r>
      <w:r w:rsidR="004207F8" w:rsidRPr="001E150E">
        <w:rPr>
          <w:rFonts w:ascii="Times New Roman" w:eastAsia="Times New Roman" w:hAnsi="Times New Roman" w:cs="Times New Roman"/>
          <w:sz w:val="26"/>
          <w:szCs w:val="26"/>
        </w:rPr>
        <w:t>threat</w:t>
      </w:r>
      <w:r w:rsidRPr="001E150E">
        <w:rPr>
          <w:rFonts w:ascii="Times New Roman" w:eastAsia="Times New Roman" w:hAnsi="Times New Roman" w:cs="Times New Roman"/>
          <w:sz w:val="26"/>
          <w:szCs w:val="26"/>
        </w:rPr>
        <w:t xml:space="preserve">.) (the </w:t>
      </w:r>
      <w:r w:rsidR="00F85B6F">
        <w:rPr>
          <w:rFonts w:ascii="Times New Roman" w:eastAsia="Times New Roman" w:hAnsi="Times New Roman" w:cs="Times New Roman"/>
          <w:sz w:val="26"/>
          <w:szCs w:val="26"/>
        </w:rPr>
        <w:t>threat</w:t>
      </w:r>
      <w:r w:rsidRPr="001E150E">
        <w:rPr>
          <w:rFonts w:ascii="Times New Roman" w:eastAsia="Times New Roman" w:hAnsi="Times New Roman" w:cs="Times New Roman"/>
          <w:sz w:val="26"/>
          <w:szCs w:val="26"/>
        </w:rPr>
        <w:t xml:space="preserve"> is in response to any action taken in the Department of Revenue (official’s) (employee’s) (agent’s) official capacity).</w:t>
      </w:r>
    </w:p>
    <w:p w14:paraId="4427C96B" w14:textId="77777777" w:rsidR="00B23DCA" w:rsidRPr="001E150E" w:rsidRDefault="00B23DCA" w:rsidP="00B23DCA">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1E150E">
        <w:rPr>
          <w:rFonts w:ascii="Times New Roman" w:eastAsia="Times New Roman" w:hAnsi="Times New Roman" w:cs="Times New Roman"/>
          <w:b/>
          <w:sz w:val="26"/>
          <w:szCs w:val="26"/>
        </w:rPr>
        <w:t>State’s Burden of Proof</w:t>
      </w:r>
    </w:p>
    <w:p w14:paraId="4566EBD5" w14:textId="0BCB1AF2" w:rsidR="00B23DCA" w:rsidRPr="001E150E" w:rsidRDefault="00B23DCA" w:rsidP="00B23DCA">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Before you may find the defendant guilty of this offense, the State must prove by evidence which satisfies you beyond a reasonable doubt that the following six elements were present.</w:t>
      </w:r>
    </w:p>
    <w:p w14:paraId="18721BAE" w14:textId="77777777" w:rsidR="00B23DCA" w:rsidRPr="001E150E" w:rsidRDefault="00B23DCA" w:rsidP="00B23DCA">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1E150E">
        <w:rPr>
          <w:rFonts w:ascii="Times New Roman" w:eastAsia="Times New Roman" w:hAnsi="Times New Roman" w:cs="Times New Roman"/>
          <w:b/>
          <w:sz w:val="26"/>
          <w:szCs w:val="26"/>
        </w:rPr>
        <w:t>Elements of the Crime That the State Must Prove</w:t>
      </w:r>
    </w:p>
    <w:p w14:paraId="73D504D8" w14:textId="239422DE" w:rsidR="00B23DCA" w:rsidRPr="001E150E" w:rsidRDefault="00B23DCA" w:rsidP="00B23DCA">
      <w:pPr>
        <w:pStyle w:val="ListParagraph"/>
        <w:widowControl w:val="0"/>
        <w:numPr>
          <w:ilvl w:val="0"/>
          <w:numId w:val="1"/>
        </w:numPr>
        <w:tabs>
          <w:tab w:val="left" w:pos="900"/>
        </w:tabs>
        <w:autoSpaceDE w:val="0"/>
        <w:autoSpaceDN w:val="0"/>
        <w:adjustRightInd w:val="0"/>
        <w:spacing w:after="0" w:line="480" w:lineRule="auto"/>
        <w:jc w:val="both"/>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w:t>
      </w:r>
      <w:r w:rsidRPr="001E150E">
        <w:rPr>
          <w:rFonts w:ascii="Times New Roman" w:eastAsia="Times New Roman" w:hAnsi="Times New Roman" w:cs="Times New Roman"/>
          <w:sz w:val="26"/>
          <w:szCs w:val="26"/>
          <w:u w:val="single"/>
        </w:rPr>
        <w:t>Name of victim</w:t>
      </w:r>
      <w:r w:rsidRPr="001E150E">
        <w:rPr>
          <w:rFonts w:ascii="Times New Roman" w:eastAsia="Times New Roman" w:hAnsi="Times New Roman" w:cs="Times New Roman"/>
          <w:sz w:val="26"/>
          <w:szCs w:val="26"/>
        </w:rPr>
        <w:t>) was a (Department of Revenue (official) (employee) (agent)) (family member of a Department of Revenue (official) (employee) (agent)).</w:t>
      </w:r>
    </w:p>
    <w:p w14:paraId="4E27C6FB" w14:textId="306823FE" w:rsidR="00B23DCA" w:rsidRPr="001E150E" w:rsidRDefault="00B23DCA" w:rsidP="00B23DCA">
      <w:pPr>
        <w:widowControl w:val="0"/>
        <w:autoSpaceDE w:val="0"/>
        <w:autoSpaceDN w:val="0"/>
        <w:adjustRightInd w:val="0"/>
        <w:spacing w:after="0" w:line="480" w:lineRule="auto"/>
        <w:ind w:firstLine="1260"/>
        <w:jc w:val="both"/>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[For the purpose of this offense, a (</w:t>
      </w:r>
      <w:r w:rsidRPr="001E150E">
        <w:rPr>
          <w:rFonts w:ascii="Times New Roman" w:eastAsia="Times New Roman" w:hAnsi="Times New Roman" w:cs="Times New Roman"/>
          <w:sz w:val="26"/>
          <w:szCs w:val="26"/>
          <w:u w:val="single"/>
        </w:rPr>
        <w:t>e.g., child</w:t>
      </w:r>
      <w:r w:rsidRPr="001E150E">
        <w:rPr>
          <w:rFonts w:ascii="Times New Roman" w:eastAsia="Times New Roman" w:hAnsi="Times New Roman" w:cs="Times New Roman"/>
          <w:sz w:val="26"/>
          <w:szCs w:val="26"/>
        </w:rPr>
        <w:t>) is a family member.]</w:t>
      </w:r>
      <w:r w:rsidRPr="001E150E">
        <w:rPr>
          <w:rStyle w:val="EndnoteReference"/>
          <w:rFonts w:ascii="Times New Roman" w:eastAsia="Times New Roman" w:hAnsi="Times New Roman" w:cs="Times New Roman"/>
          <w:sz w:val="26"/>
          <w:szCs w:val="26"/>
        </w:rPr>
        <w:endnoteReference w:id="1"/>
      </w:r>
      <w:r w:rsidRPr="001E150E">
        <w:rPr>
          <w:rFonts w:ascii="Times New Roman" w:eastAsia="Times New Roman" w:hAnsi="Times New Roman" w:cs="Times New Roman"/>
          <w:sz w:val="26"/>
          <w:szCs w:val="26"/>
        </w:rPr>
        <w:t xml:space="preserve"> </w:t>
      </w:r>
    </w:p>
    <w:p w14:paraId="67097667" w14:textId="288BDBE8" w:rsidR="00B23DCA" w:rsidRPr="001E150E" w:rsidRDefault="00B23DCA" w:rsidP="00B23DCA">
      <w:pPr>
        <w:pStyle w:val="ListParagraph"/>
        <w:widowControl w:val="0"/>
        <w:numPr>
          <w:ilvl w:val="0"/>
          <w:numId w:val="1"/>
        </w:numPr>
        <w:tabs>
          <w:tab w:val="left" w:pos="900"/>
        </w:tabs>
        <w:autoSpaceDE w:val="0"/>
        <w:autoSpaceDN w:val="0"/>
        <w:adjustRightInd w:val="0"/>
        <w:spacing w:after="0" w:line="480" w:lineRule="auto"/>
        <w:jc w:val="both"/>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 xml:space="preserve">At the time of the </w:t>
      </w:r>
      <w:r w:rsidR="00F85B6F">
        <w:rPr>
          <w:rFonts w:ascii="Times New Roman" w:eastAsia="Times New Roman" w:hAnsi="Times New Roman" w:cs="Times New Roman"/>
          <w:sz w:val="26"/>
          <w:szCs w:val="26"/>
        </w:rPr>
        <w:t>threat</w:t>
      </w:r>
      <w:r w:rsidR="00B001A3">
        <w:rPr>
          <w:rFonts w:ascii="Times New Roman" w:eastAsia="Times New Roman" w:hAnsi="Times New Roman" w:cs="Times New Roman"/>
          <w:sz w:val="26"/>
          <w:szCs w:val="26"/>
        </w:rPr>
        <w:t>,</w:t>
      </w:r>
      <w:r w:rsidRPr="001E150E">
        <w:rPr>
          <w:rFonts w:ascii="Times New Roman" w:eastAsia="Times New Roman" w:hAnsi="Times New Roman" w:cs="Times New Roman"/>
          <w:sz w:val="26"/>
          <w:szCs w:val="26"/>
        </w:rPr>
        <w:t xml:space="preserve"> the defendant knew or should have known that (</w:t>
      </w:r>
      <w:r w:rsidRPr="001E150E">
        <w:rPr>
          <w:rFonts w:ascii="Times New Roman" w:eastAsia="Times New Roman" w:hAnsi="Times New Roman" w:cs="Times New Roman"/>
          <w:sz w:val="26"/>
          <w:szCs w:val="26"/>
          <w:u w:val="single"/>
        </w:rPr>
        <w:t xml:space="preserve">name of </w:t>
      </w:r>
      <w:r w:rsidRPr="001E150E">
        <w:rPr>
          <w:rFonts w:ascii="Times New Roman" w:eastAsia="Times New Roman" w:hAnsi="Times New Roman" w:cs="Times New Roman"/>
          <w:sz w:val="26"/>
          <w:szCs w:val="26"/>
          <w:u w:val="single"/>
        </w:rPr>
        <w:lastRenderedPageBreak/>
        <w:t>victim</w:t>
      </w:r>
      <w:r w:rsidRPr="001E150E">
        <w:rPr>
          <w:rFonts w:ascii="Times New Roman" w:eastAsia="Times New Roman" w:hAnsi="Times New Roman" w:cs="Times New Roman"/>
          <w:sz w:val="26"/>
          <w:szCs w:val="26"/>
        </w:rPr>
        <w:t>) was a (Department of Revenue (official) (employee) (agent)) (family member of a Department of Revenue (official) (employee) (agent)).</w:t>
      </w:r>
    </w:p>
    <w:p w14:paraId="67E4848A" w14:textId="6B1F24FA" w:rsidR="00B23DCA" w:rsidRPr="001E150E" w:rsidRDefault="00B23DCA" w:rsidP="00B23DCA">
      <w:pPr>
        <w:pStyle w:val="ListParagraph"/>
        <w:widowControl w:val="0"/>
        <w:tabs>
          <w:tab w:val="left" w:pos="900"/>
        </w:tabs>
        <w:autoSpaceDE w:val="0"/>
        <w:autoSpaceDN w:val="0"/>
        <w:adjustRightInd w:val="0"/>
        <w:spacing w:after="0" w:line="480" w:lineRule="auto"/>
        <w:ind w:left="900" w:firstLine="360"/>
        <w:jc w:val="both"/>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[This element may be satisfied by proving either that the defendant actually knew the victim’s status, or that a reasonable person in the defendant’s circumstances would have known the victim’s status as a (Department of Revenue (official) (employee) (agent)) (family member of a Department of Revenue (official) (employee) (agent)).]</w:t>
      </w:r>
    </w:p>
    <w:p w14:paraId="716169FC" w14:textId="7AD673B5" w:rsidR="003602F2" w:rsidRPr="001E150E" w:rsidRDefault="00B23DCA" w:rsidP="001E150E">
      <w:pPr>
        <w:pStyle w:val="ListParagraph"/>
        <w:numPr>
          <w:ilvl w:val="0"/>
          <w:numId w:val="1"/>
        </w:numPr>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The defendant threatened to cause bodily harm to (</w:t>
      </w:r>
      <w:r w:rsidRPr="001E150E">
        <w:rPr>
          <w:rFonts w:ascii="Times New Roman" w:eastAsia="Times New Roman" w:hAnsi="Times New Roman" w:cs="Times New Roman"/>
          <w:sz w:val="26"/>
          <w:szCs w:val="26"/>
          <w:u w:val="single"/>
        </w:rPr>
        <w:t>name of victim</w:t>
      </w:r>
      <w:r w:rsidRPr="001E150E">
        <w:rPr>
          <w:rFonts w:ascii="Times New Roman" w:eastAsia="Times New Roman" w:hAnsi="Times New Roman" w:cs="Times New Roman"/>
          <w:sz w:val="26"/>
          <w:szCs w:val="26"/>
        </w:rPr>
        <w:t>).</w:t>
      </w:r>
    </w:p>
    <w:p w14:paraId="38F40372" w14:textId="00821833" w:rsidR="00B23DCA" w:rsidRPr="001E150E" w:rsidRDefault="003602F2" w:rsidP="003602F2">
      <w:pPr>
        <w:widowControl w:val="0"/>
        <w:tabs>
          <w:tab w:val="left" w:pos="900"/>
        </w:tabs>
        <w:autoSpaceDE w:val="0"/>
        <w:autoSpaceDN w:val="0"/>
        <w:adjustRightInd w:val="0"/>
        <w:spacing w:after="0" w:line="480" w:lineRule="auto"/>
        <w:ind w:left="900" w:firstLine="360"/>
        <w:jc w:val="both"/>
        <w:rPr>
          <w:rFonts w:ascii="Times New Roman" w:eastAsia="Times New Roman" w:hAnsi="Times New Roman" w:cs="Times New Roman"/>
          <w:b/>
          <w:bCs/>
          <w:sz w:val="26"/>
          <w:szCs w:val="26"/>
        </w:rPr>
      </w:pPr>
      <w:r w:rsidRPr="001E150E">
        <w:rPr>
          <w:rFonts w:ascii="Times New Roman" w:eastAsia="Times New Roman" w:hAnsi="Times New Roman" w:cs="Times New Roman"/>
          <w:sz w:val="26"/>
          <w:szCs w:val="26"/>
        </w:rPr>
        <w:t>A threat requires a true threat.</w:t>
      </w:r>
      <w:r w:rsidRPr="001E150E">
        <w:rPr>
          <w:rFonts w:ascii="Times New Roman" w:eastAsia="Times New Roman" w:hAnsi="Times New Roman" w:cs="Times New Roman"/>
          <w:b/>
          <w:bCs/>
          <w:sz w:val="26"/>
          <w:szCs w:val="26"/>
        </w:rPr>
        <w:t xml:space="preserve"> </w:t>
      </w:r>
      <w:r w:rsidR="00B23DCA" w:rsidRPr="001E150E">
        <w:rPr>
          <w:rFonts w:ascii="Times New Roman" w:eastAsia="Times New Roman" w:hAnsi="Times New Roman" w:cs="Times New Roman"/>
          <w:sz w:val="26"/>
          <w:szCs w:val="26"/>
        </w:rPr>
        <w:t>It may be communicated orally, in writing, or by conduct. “True threat” means that a reasonable person would interpret the threat as a serious expression that the speaker will inflict imminent or future bodily harm. It must convey a real possibility that bodily harm will follow.</w:t>
      </w:r>
      <w:r w:rsidR="00B23DCA" w:rsidRPr="001E150E">
        <w:rPr>
          <w:rFonts w:ascii="Times New Roman" w:eastAsia="Times New Roman" w:hAnsi="Times New Roman" w:cs="Times New Roman"/>
          <w:sz w:val="26"/>
          <w:szCs w:val="26"/>
          <w:vertAlign w:val="superscript"/>
        </w:rPr>
        <w:endnoteReference w:id="2"/>
      </w:r>
      <w:r w:rsidR="00B23DCA" w:rsidRPr="001E150E">
        <w:rPr>
          <w:rFonts w:ascii="Times New Roman" w:eastAsia="Times New Roman" w:hAnsi="Times New Roman" w:cs="Times New Roman"/>
          <w:sz w:val="26"/>
          <w:szCs w:val="26"/>
        </w:rPr>
        <w:t xml:space="preserve"> It is not necessary that the person making the threat have the ability to carry out the threat. You must consider all the circumstances in determining whether a threat is a true threat.</w:t>
      </w:r>
      <w:r w:rsidR="00B23DCA" w:rsidRPr="001E150E">
        <w:rPr>
          <w:rStyle w:val="EndnoteReference"/>
          <w:rFonts w:ascii="Times New Roman" w:eastAsia="Times New Roman" w:hAnsi="Times New Roman" w:cs="Times New Roman"/>
          <w:sz w:val="26"/>
          <w:szCs w:val="26"/>
        </w:rPr>
        <w:endnoteReference w:id="3"/>
      </w:r>
    </w:p>
    <w:p w14:paraId="2BE02E69" w14:textId="32610B30" w:rsidR="00B23DCA" w:rsidRPr="001E150E" w:rsidRDefault="00B23DCA" w:rsidP="00B23DCA">
      <w:pPr>
        <w:widowControl w:val="0"/>
        <w:autoSpaceDE w:val="0"/>
        <w:autoSpaceDN w:val="0"/>
        <w:adjustRightInd w:val="0"/>
        <w:spacing w:after="0" w:line="480" w:lineRule="auto"/>
        <w:ind w:left="900" w:firstLine="360"/>
        <w:jc w:val="both"/>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“Bodily harm” means physical pain or injury, illness, or any impairment of physical condition.</w:t>
      </w:r>
      <w:r w:rsidRPr="001E150E">
        <w:rPr>
          <w:rStyle w:val="EndnoteReference"/>
          <w:rFonts w:ascii="Times New Roman" w:eastAsia="Times New Roman" w:hAnsi="Times New Roman" w:cs="Times New Roman"/>
          <w:sz w:val="26"/>
          <w:szCs w:val="26"/>
        </w:rPr>
        <w:endnoteReference w:id="4"/>
      </w:r>
    </w:p>
    <w:p w14:paraId="6D6133F3" w14:textId="09529B00" w:rsidR="00B23DCA" w:rsidRPr="001E150E" w:rsidRDefault="00B23DCA" w:rsidP="00B23DCA">
      <w:pPr>
        <w:pStyle w:val="ListParagraph"/>
        <w:widowControl w:val="0"/>
        <w:numPr>
          <w:ilvl w:val="0"/>
          <w:numId w:val="1"/>
        </w:numPr>
        <w:tabs>
          <w:tab w:val="left" w:pos="900"/>
        </w:tabs>
        <w:autoSpaceDE w:val="0"/>
        <w:autoSpaceDN w:val="0"/>
        <w:adjustRightInd w:val="0"/>
        <w:spacing w:after="0" w:line="480" w:lineRule="auto"/>
        <w:jc w:val="both"/>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The threat was in response to (the Department of Revenue (official) (employee) (agent) acting in an official capacity at the time of the threat.) (any action taken in the Department of Revenue (official’s) (employee’s) (agent’s) official capacity).</w:t>
      </w:r>
    </w:p>
    <w:p w14:paraId="1B6BC602" w14:textId="2BCA44F7" w:rsidR="00940C76" w:rsidRPr="001E150E" w:rsidRDefault="00B23DCA" w:rsidP="001E150E">
      <w:pPr>
        <w:widowControl w:val="0"/>
        <w:autoSpaceDE w:val="0"/>
        <w:autoSpaceDN w:val="0"/>
        <w:adjustRightInd w:val="0"/>
        <w:spacing w:after="0" w:line="480" w:lineRule="auto"/>
        <w:ind w:left="900" w:firstLine="360"/>
        <w:jc w:val="both"/>
        <w:rPr>
          <w:rFonts w:ascii="Times New Roman" w:eastAsia="Times New Roman" w:hAnsi="Times New Roman" w:cs="Times New Roman"/>
          <w:sz w:val="26"/>
          <w:szCs w:val="26"/>
          <w:vertAlign w:val="superscript"/>
        </w:rPr>
      </w:pPr>
      <w:r w:rsidRPr="001E150E">
        <w:rPr>
          <w:rFonts w:ascii="Times New Roman" w:eastAsia="Times New Roman" w:hAnsi="Times New Roman" w:cs="Times New Roman"/>
          <w:sz w:val="26"/>
          <w:szCs w:val="26"/>
        </w:rPr>
        <w:t>Department of Revenue</w:t>
      </w:r>
      <w:r w:rsidR="00DF3740" w:rsidRPr="001E150E">
        <w:t xml:space="preserve"> </w:t>
      </w:r>
      <w:r w:rsidR="00DF3740" w:rsidRPr="001E150E">
        <w:rPr>
          <w:rFonts w:ascii="Times New Roman" w:eastAsia="Times New Roman" w:hAnsi="Times New Roman" w:cs="Times New Roman"/>
          <w:sz w:val="26"/>
          <w:szCs w:val="26"/>
        </w:rPr>
        <w:t>(officials) (employees) (agents)</w:t>
      </w:r>
      <w:r w:rsidRPr="001E150E">
        <w:rPr>
          <w:rFonts w:ascii="Times New Roman" w:eastAsia="Times New Roman" w:hAnsi="Times New Roman" w:cs="Times New Roman"/>
          <w:sz w:val="26"/>
          <w:szCs w:val="26"/>
        </w:rPr>
        <w:t xml:space="preserve"> act in an official </w:t>
      </w:r>
      <w:r w:rsidRPr="001E150E">
        <w:rPr>
          <w:rFonts w:ascii="Times New Roman" w:eastAsia="Times New Roman" w:hAnsi="Times New Roman" w:cs="Times New Roman"/>
          <w:sz w:val="26"/>
          <w:szCs w:val="26"/>
        </w:rPr>
        <w:lastRenderedPageBreak/>
        <w:t>capacity when they perform duties that they are employed</w:t>
      </w:r>
      <w:r w:rsidRPr="001E150E">
        <w:rPr>
          <w:rStyle w:val="EndnoteReference"/>
          <w:rFonts w:ascii="Times New Roman" w:eastAsia="Times New Roman" w:hAnsi="Times New Roman" w:cs="Times New Roman"/>
          <w:sz w:val="26"/>
          <w:szCs w:val="26"/>
        </w:rPr>
        <w:endnoteReference w:id="5"/>
      </w:r>
      <w:r w:rsidRPr="001E150E">
        <w:rPr>
          <w:rFonts w:ascii="Times New Roman" w:eastAsia="Times New Roman" w:hAnsi="Times New Roman" w:cs="Times New Roman"/>
          <w:sz w:val="26"/>
          <w:szCs w:val="26"/>
        </w:rPr>
        <w:t xml:space="preserve"> to perform.</w:t>
      </w:r>
      <w:r w:rsidRPr="001E150E">
        <w:rPr>
          <w:rStyle w:val="EndnoteReference"/>
          <w:rFonts w:ascii="Times New Roman" w:eastAsia="Times New Roman" w:hAnsi="Times New Roman" w:cs="Times New Roman"/>
          <w:sz w:val="26"/>
          <w:szCs w:val="26"/>
        </w:rPr>
        <w:endnoteReference w:id="6"/>
      </w:r>
      <w:r w:rsidRPr="001E150E">
        <w:rPr>
          <w:rFonts w:ascii="Times New Roman" w:eastAsia="Times New Roman" w:hAnsi="Times New Roman" w:cs="Times New Roman"/>
          <w:sz w:val="26"/>
          <w:szCs w:val="26"/>
        </w:rPr>
        <w:t xml:space="preserve"> [The duties of a Department of Revenue</w:t>
      </w:r>
      <w:r w:rsidR="00DF3740" w:rsidRPr="001E150E">
        <w:t xml:space="preserve"> </w:t>
      </w:r>
      <w:r w:rsidR="00DF3740" w:rsidRPr="001E150E">
        <w:rPr>
          <w:rFonts w:ascii="Times New Roman" w:eastAsia="Times New Roman" w:hAnsi="Times New Roman" w:cs="Times New Roman"/>
          <w:sz w:val="26"/>
          <w:szCs w:val="26"/>
        </w:rPr>
        <w:t>(official) (employee) (agent)</w:t>
      </w:r>
      <w:r w:rsidRPr="001E150E">
        <w:rPr>
          <w:rFonts w:ascii="Times New Roman" w:eastAsia="Times New Roman" w:hAnsi="Times New Roman" w:cs="Times New Roman"/>
          <w:sz w:val="26"/>
          <w:szCs w:val="26"/>
        </w:rPr>
        <w:t xml:space="preserve"> include:</w:t>
      </w:r>
      <w:r w:rsidRPr="001E150E">
        <w:rPr>
          <w:rFonts w:ascii="Times New Roman" w:eastAsia="Times New Roman" w:hAnsi="Times New Roman" w:cs="Times New Roman"/>
          <w:sz w:val="26"/>
          <w:szCs w:val="26"/>
          <w:u w:val="single"/>
        </w:rPr>
        <w:t xml:space="preserve">                               </w:t>
      </w:r>
      <w:r w:rsidR="00DF3740" w:rsidRPr="001E150E">
        <w:rPr>
          <w:rFonts w:ascii="Times New Roman" w:eastAsia="Times New Roman" w:hAnsi="Times New Roman" w:cs="Times New Roman"/>
          <w:sz w:val="26"/>
          <w:szCs w:val="26"/>
        </w:rPr>
        <w:t>__________________</w:t>
      </w:r>
      <w:r w:rsidRPr="001E150E">
        <w:rPr>
          <w:rFonts w:ascii="Times New Roman" w:eastAsia="Times New Roman" w:hAnsi="Times New Roman" w:cs="Times New Roman"/>
          <w:sz w:val="26"/>
          <w:szCs w:val="26"/>
        </w:rPr>
        <w:t>.]</w:t>
      </w:r>
    </w:p>
    <w:p w14:paraId="7558DF55" w14:textId="5FEF296B" w:rsidR="003602F2" w:rsidRPr="001E150E" w:rsidRDefault="00940C76" w:rsidP="003602F2">
      <w:pPr>
        <w:widowControl w:val="0"/>
        <w:numPr>
          <w:ilvl w:val="0"/>
          <w:numId w:val="1"/>
        </w:numPr>
        <w:tabs>
          <w:tab w:val="left" w:pos="900"/>
        </w:tabs>
        <w:autoSpaceDE w:val="0"/>
        <w:autoSpaceDN w:val="0"/>
        <w:adjustRightInd w:val="0"/>
        <w:spacing w:after="0" w:line="480" w:lineRule="auto"/>
        <w:contextualSpacing/>
        <w:jc w:val="both"/>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 xml:space="preserve">The defendant consciously </w:t>
      </w:r>
      <w:r w:rsidR="003602F2" w:rsidRPr="001E150E">
        <w:rPr>
          <w:rFonts w:ascii="Times New Roman" w:eastAsia="Times New Roman" w:hAnsi="Times New Roman" w:cs="Times New Roman"/>
          <w:sz w:val="26"/>
          <w:szCs w:val="26"/>
        </w:rPr>
        <w:t>disregarded</w:t>
      </w:r>
      <w:r w:rsidR="003602F2" w:rsidRPr="001E150E">
        <w:rPr>
          <w:rStyle w:val="EndnoteReference"/>
          <w:rFonts w:ascii="Times New Roman" w:eastAsia="Times New Roman" w:hAnsi="Times New Roman" w:cs="Times New Roman"/>
          <w:sz w:val="26"/>
          <w:szCs w:val="26"/>
        </w:rPr>
        <w:endnoteReference w:id="7"/>
      </w:r>
      <w:r w:rsidR="003602F2" w:rsidRPr="001E150E">
        <w:rPr>
          <w:rFonts w:ascii="Times New Roman" w:eastAsia="Times New Roman" w:hAnsi="Times New Roman" w:cs="Times New Roman"/>
          <w:sz w:val="26"/>
          <w:szCs w:val="26"/>
        </w:rPr>
        <w:t xml:space="preserve"> </w:t>
      </w:r>
      <w:r w:rsidRPr="001E150E">
        <w:rPr>
          <w:rFonts w:ascii="Times New Roman" w:eastAsia="Times New Roman" w:hAnsi="Times New Roman" w:cs="Times New Roman"/>
          <w:sz w:val="26"/>
          <w:szCs w:val="26"/>
        </w:rPr>
        <w:t>a substantial risk that others would view the statement as a true threat to cause bodily harm.</w:t>
      </w:r>
    </w:p>
    <w:p w14:paraId="1A495EE7" w14:textId="1C4FFB57" w:rsidR="003602F2" w:rsidRPr="001E150E" w:rsidRDefault="003602F2" w:rsidP="003602F2">
      <w:pPr>
        <w:pStyle w:val="ListParagraph"/>
        <w:widowControl w:val="0"/>
        <w:tabs>
          <w:tab w:val="left" w:pos="900"/>
        </w:tabs>
        <w:autoSpaceDE w:val="0"/>
        <w:autoSpaceDN w:val="0"/>
        <w:adjustRightInd w:val="0"/>
        <w:spacing w:after="0" w:line="480" w:lineRule="auto"/>
        <w:ind w:left="900" w:firstLine="360"/>
        <w:jc w:val="both"/>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[This means the defendant is aware that others could regard the statement(s) as threatening violence and delivers (it) (them) anyway.]</w:t>
      </w:r>
      <w:r w:rsidRPr="001E150E">
        <w:rPr>
          <w:rStyle w:val="EndnoteReference"/>
          <w:rFonts w:ascii="Times New Roman" w:eastAsia="Times New Roman" w:hAnsi="Times New Roman" w:cs="Times New Roman"/>
          <w:sz w:val="26"/>
          <w:szCs w:val="26"/>
        </w:rPr>
        <w:endnoteReference w:id="8"/>
      </w:r>
    </w:p>
    <w:p w14:paraId="3CD8D792" w14:textId="3C76A84E" w:rsidR="00081957" w:rsidRPr="001E150E" w:rsidRDefault="00940C76" w:rsidP="003602F2">
      <w:pPr>
        <w:widowControl w:val="0"/>
        <w:numPr>
          <w:ilvl w:val="0"/>
          <w:numId w:val="1"/>
        </w:numPr>
        <w:tabs>
          <w:tab w:val="left" w:pos="900"/>
        </w:tabs>
        <w:autoSpaceDE w:val="0"/>
        <w:autoSpaceDN w:val="0"/>
        <w:adjustRightInd w:val="0"/>
        <w:spacing w:after="0" w:line="480" w:lineRule="auto"/>
        <w:contextualSpacing/>
        <w:jc w:val="both"/>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The defendant threatened to cause bodily harm without the consent</w:t>
      </w:r>
      <w:r w:rsidRPr="001E150E">
        <w:rPr>
          <w:rStyle w:val="EndnoteReference"/>
          <w:rFonts w:ascii="Times New Roman" w:eastAsia="Times New Roman" w:hAnsi="Times New Roman" w:cs="Times New Roman"/>
          <w:sz w:val="26"/>
          <w:szCs w:val="26"/>
        </w:rPr>
        <w:endnoteReference w:id="9"/>
      </w:r>
      <w:r w:rsidRPr="001E150E">
        <w:rPr>
          <w:rFonts w:ascii="Times New Roman" w:eastAsia="Times New Roman" w:hAnsi="Times New Roman" w:cs="Times New Roman"/>
          <w:sz w:val="26"/>
          <w:szCs w:val="26"/>
        </w:rPr>
        <w:t xml:space="preserve"> of (</w:t>
      </w:r>
      <w:r w:rsidRPr="001E150E">
        <w:rPr>
          <w:rFonts w:ascii="Times New Roman" w:eastAsia="Times New Roman" w:hAnsi="Times New Roman" w:cs="Times New Roman"/>
          <w:sz w:val="26"/>
          <w:szCs w:val="26"/>
          <w:u w:val="single"/>
        </w:rPr>
        <w:t>name of victim</w:t>
      </w:r>
      <w:r w:rsidRPr="001E150E">
        <w:rPr>
          <w:rFonts w:ascii="Times New Roman" w:eastAsia="Times New Roman" w:hAnsi="Times New Roman" w:cs="Times New Roman"/>
          <w:sz w:val="26"/>
          <w:szCs w:val="26"/>
        </w:rPr>
        <w:t>).</w:t>
      </w:r>
    </w:p>
    <w:p w14:paraId="502E5258" w14:textId="77777777" w:rsidR="00940C76" w:rsidRPr="001E150E" w:rsidRDefault="00940C76" w:rsidP="00940C76">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1E150E">
        <w:rPr>
          <w:rFonts w:ascii="Times New Roman" w:eastAsia="Times New Roman" w:hAnsi="Times New Roman" w:cs="Times New Roman"/>
          <w:b/>
          <w:sz w:val="26"/>
          <w:szCs w:val="26"/>
        </w:rPr>
        <w:t>Deciding About Knowledge</w:t>
      </w:r>
    </w:p>
    <w:p w14:paraId="1C19CDBE" w14:textId="77777777" w:rsidR="00940C76" w:rsidRPr="001E150E" w:rsidRDefault="00940C76" w:rsidP="00940C76">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You cannot look into a person’s mind to find knowledge. Knowledge must be found, if found at all, from the defendant’s acts, words, and statements, if any, and from all the facts and circumstances in this case bearing upon knowledge.</w:t>
      </w:r>
    </w:p>
    <w:p w14:paraId="24F6A859" w14:textId="77777777" w:rsidR="00940C76" w:rsidRPr="001E150E" w:rsidRDefault="00940C76" w:rsidP="00940C76">
      <w:pPr>
        <w:widowControl w:val="0"/>
        <w:autoSpaceDE w:val="0"/>
        <w:autoSpaceDN w:val="0"/>
        <w:adjustRightInd w:val="0"/>
        <w:spacing w:after="0" w:line="480" w:lineRule="auto"/>
        <w:jc w:val="center"/>
        <w:rPr>
          <w:rFonts w:ascii="Times New Roman" w:eastAsia="Times New Roman" w:hAnsi="Times New Roman" w:cs="Times New Roman"/>
          <w:b/>
          <w:sz w:val="26"/>
          <w:szCs w:val="26"/>
        </w:rPr>
      </w:pPr>
      <w:r w:rsidRPr="001E150E">
        <w:rPr>
          <w:rFonts w:ascii="Times New Roman" w:eastAsia="Times New Roman" w:hAnsi="Times New Roman" w:cs="Times New Roman"/>
          <w:b/>
          <w:sz w:val="26"/>
          <w:szCs w:val="26"/>
        </w:rPr>
        <w:t>Jury’s Decision</w:t>
      </w:r>
    </w:p>
    <w:p w14:paraId="25A52C42" w14:textId="78D78F04" w:rsidR="00940C76" w:rsidRPr="001E150E" w:rsidRDefault="00940C76" w:rsidP="00940C76">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If you are satisfied beyond a reasonable doubt that all six elements of this offense have been proved, you should find the defendant guilty.</w:t>
      </w:r>
    </w:p>
    <w:p w14:paraId="4C9FB638" w14:textId="77777777" w:rsidR="00940C76" w:rsidRPr="001E150E" w:rsidRDefault="00940C76" w:rsidP="00940C76">
      <w:pPr>
        <w:widowControl w:val="0"/>
        <w:autoSpaceDE w:val="0"/>
        <w:autoSpaceDN w:val="0"/>
        <w:adjustRightInd w:val="0"/>
        <w:spacing w:after="0" w:line="480" w:lineRule="auto"/>
        <w:ind w:firstLine="450"/>
        <w:jc w:val="both"/>
        <w:rPr>
          <w:rFonts w:ascii="Times New Roman" w:eastAsia="Times New Roman" w:hAnsi="Times New Roman" w:cs="Times New Roman"/>
          <w:sz w:val="26"/>
          <w:szCs w:val="26"/>
        </w:rPr>
      </w:pPr>
      <w:r w:rsidRPr="001E150E">
        <w:rPr>
          <w:rFonts w:ascii="Times New Roman" w:eastAsia="Times New Roman" w:hAnsi="Times New Roman" w:cs="Times New Roman"/>
          <w:sz w:val="26"/>
          <w:szCs w:val="26"/>
        </w:rPr>
        <w:t>If you are not so satisfied, you must find the defendant not guilty.</w:t>
      </w:r>
    </w:p>
    <w:p w14:paraId="261E5ECF" w14:textId="77777777" w:rsidR="00940C76" w:rsidRPr="001E150E" w:rsidRDefault="00940C76" w:rsidP="00940C76">
      <w:pPr>
        <w:widowControl w:val="0"/>
        <w:autoSpaceDE w:val="0"/>
        <w:autoSpaceDN w:val="0"/>
        <w:adjustRightInd w:val="0"/>
        <w:spacing w:after="0" w:line="240" w:lineRule="auto"/>
        <w:jc w:val="both"/>
        <w:rPr>
          <w:rFonts w:ascii="Times New Roman" w:eastAsia="Times New Roman" w:hAnsi="Times New Roman" w:cs="Times New Roman"/>
          <w:b/>
        </w:rPr>
      </w:pPr>
    </w:p>
    <w:p w14:paraId="7627E437" w14:textId="77777777" w:rsidR="00940C76" w:rsidRPr="001E150E" w:rsidRDefault="00940C76" w:rsidP="00940C76">
      <w:pPr>
        <w:widowControl w:val="0"/>
        <w:autoSpaceDE w:val="0"/>
        <w:autoSpaceDN w:val="0"/>
        <w:adjustRightInd w:val="0"/>
        <w:spacing w:after="0" w:line="240" w:lineRule="auto"/>
        <w:jc w:val="both"/>
        <w:rPr>
          <w:rFonts w:ascii="Times New Roman" w:eastAsia="Times New Roman" w:hAnsi="Times New Roman" w:cs="Times New Roman"/>
          <w:b/>
        </w:rPr>
      </w:pPr>
    </w:p>
    <w:p w14:paraId="736B1AF2" w14:textId="77777777" w:rsidR="00940C76" w:rsidRPr="001E150E" w:rsidRDefault="00940C76" w:rsidP="00940C76">
      <w:pPr>
        <w:widowControl w:val="0"/>
        <w:autoSpaceDE w:val="0"/>
        <w:autoSpaceDN w:val="0"/>
        <w:adjustRightInd w:val="0"/>
        <w:spacing w:after="0" w:line="240" w:lineRule="auto"/>
        <w:jc w:val="both"/>
        <w:rPr>
          <w:rFonts w:ascii="Times New Roman" w:eastAsia="Times New Roman" w:hAnsi="Times New Roman" w:cs="Times New Roman"/>
          <w:b/>
        </w:rPr>
      </w:pPr>
    </w:p>
    <w:p w14:paraId="6EF5B79D" w14:textId="77777777" w:rsidR="00940C76" w:rsidRPr="001E150E" w:rsidRDefault="00940C76" w:rsidP="00940C76">
      <w:pPr>
        <w:widowControl w:val="0"/>
        <w:autoSpaceDE w:val="0"/>
        <w:autoSpaceDN w:val="0"/>
        <w:adjustRightInd w:val="0"/>
        <w:spacing w:after="0" w:line="240" w:lineRule="auto"/>
        <w:jc w:val="both"/>
        <w:rPr>
          <w:rFonts w:ascii="Times New Roman" w:eastAsia="Times New Roman" w:hAnsi="Times New Roman" w:cs="Times New Roman"/>
          <w:b/>
        </w:rPr>
      </w:pPr>
    </w:p>
    <w:p w14:paraId="6391EC0F" w14:textId="77777777" w:rsidR="00940C76" w:rsidRPr="001E150E" w:rsidRDefault="00940C76" w:rsidP="00940C76">
      <w:pPr>
        <w:widowControl w:val="0"/>
        <w:autoSpaceDE w:val="0"/>
        <w:autoSpaceDN w:val="0"/>
        <w:adjustRightInd w:val="0"/>
        <w:spacing w:after="0" w:line="240" w:lineRule="auto"/>
        <w:jc w:val="both"/>
        <w:rPr>
          <w:rFonts w:ascii="Times New Roman" w:eastAsia="Times New Roman" w:hAnsi="Times New Roman" w:cs="Times New Roman"/>
          <w:b/>
        </w:rPr>
      </w:pPr>
      <w:r w:rsidRPr="001E150E">
        <w:rPr>
          <w:rFonts w:ascii="Times New Roman" w:eastAsia="Times New Roman" w:hAnsi="Times New Roman" w:cs="Times New Roman"/>
          <w:b/>
        </w:rPr>
        <w:t>COMMENT</w:t>
      </w:r>
    </w:p>
    <w:p w14:paraId="7019D62F" w14:textId="77777777" w:rsidR="00940C76" w:rsidRPr="001E150E" w:rsidRDefault="00940C76" w:rsidP="00940C76">
      <w:pPr>
        <w:widowControl w:val="0"/>
        <w:autoSpaceDE w:val="0"/>
        <w:autoSpaceDN w:val="0"/>
        <w:adjustRightInd w:val="0"/>
        <w:spacing w:after="0" w:line="240" w:lineRule="auto"/>
        <w:jc w:val="both"/>
        <w:rPr>
          <w:rFonts w:ascii="Times New Roman" w:eastAsia="Times New Roman" w:hAnsi="Times New Roman" w:cs="Times New Roman"/>
        </w:rPr>
      </w:pPr>
    </w:p>
    <w:p w14:paraId="2A3AC801" w14:textId="0A017776" w:rsidR="00940C76" w:rsidRPr="001E150E" w:rsidRDefault="00940C76" w:rsidP="00940C76">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1E150E">
        <w:rPr>
          <w:rFonts w:ascii="Times New Roman" w:eastAsia="Times New Roman" w:hAnsi="Times New Roman" w:cs="Times New Roman"/>
        </w:rPr>
        <w:t>Wis JI</w:t>
      </w:r>
      <w:r w:rsidR="006062C3" w:rsidRPr="001E150E">
        <w:rPr>
          <w:rFonts w:ascii="Times New Roman" w:eastAsia="Times New Roman" w:hAnsi="Times New Roman" w:cs="Times New Roman"/>
        </w:rPr>
        <w:t>–</w:t>
      </w:r>
      <w:r w:rsidRPr="001E150E">
        <w:rPr>
          <w:rFonts w:ascii="Times New Roman" w:eastAsia="Times New Roman" w:hAnsi="Times New Roman" w:cs="Times New Roman"/>
        </w:rPr>
        <w:t xml:space="preserve">Criminal 1242A was approved by the Committee in </w:t>
      </w:r>
      <w:r w:rsidR="006062C3" w:rsidRPr="001E150E">
        <w:rPr>
          <w:rFonts w:ascii="Times New Roman" w:eastAsia="Times New Roman" w:hAnsi="Times New Roman" w:cs="Times New Roman"/>
        </w:rPr>
        <w:t>June 2026</w:t>
      </w:r>
      <w:r w:rsidRPr="001E150E">
        <w:rPr>
          <w:rFonts w:ascii="Times New Roman" w:eastAsia="Times New Roman" w:hAnsi="Times New Roman" w:cs="Times New Roman"/>
        </w:rPr>
        <w:t xml:space="preserve">. It was drafted as part of the </w:t>
      </w:r>
      <w:r w:rsidRPr="001E150E">
        <w:rPr>
          <w:rFonts w:ascii="Times New Roman" w:eastAsia="Times New Roman" w:hAnsi="Times New Roman" w:cs="Times New Roman"/>
        </w:rPr>
        <w:lastRenderedPageBreak/>
        <w:t xml:space="preserve">recodification and reorganization of the battery statutes enacted by 2025 Wisconsin Act 24 [effective date: August </w:t>
      </w:r>
      <w:r w:rsidR="00115007">
        <w:rPr>
          <w:rFonts w:ascii="Times New Roman" w:eastAsia="Times New Roman" w:hAnsi="Times New Roman" w:cs="Times New Roman"/>
        </w:rPr>
        <w:t>10</w:t>
      </w:r>
      <w:r w:rsidRPr="001E150E">
        <w:rPr>
          <w:rFonts w:ascii="Times New Roman" w:eastAsia="Times New Roman" w:hAnsi="Times New Roman" w:cs="Times New Roman"/>
        </w:rPr>
        <w:t xml:space="preserve">, 2025], which created a separate statutory section for threatening to cause bodily harm to agents or their family members. </w:t>
      </w:r>
    </w:p>
    <w:p w14:paraId="2C179CD1" w14:textId="77777777" w:rsidR="00940C76" w:rsidRPr="001E150E" w:rsidRDefault="00940C76" w:rsidP="00940C76">
      <w:pPr>
        <w:widowControl w:val="0"/>
        <w:autoSpaceDE w:val="0"/>
        <w:autoSpaceDN w:val="0"/>
        <w:adjustRightInd w:val="0"/>
        <w:spacing w:after="0" w:line="240" w:lineRule="auto"/>
        <w:jc w:val="both"/>
        <w:rPr>
          <w:rFonts w:ascii="Times New Roman" w:eastAsia="Times New Roman" w:hAnsi="Times New Roman" w:cs="Times New Roman"/>
        </w:rPr>
      </w:pPr>
    </w:p>
    <w:p w14:paraId="20E7B839" w14:textId="4DE46C28" w:rsidR="00940C76" w:rsidRPr="001E150E" w:rsidRDefault="00940C76" w:rsidP="00940C76">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1E150E">
        <w:rPr>
          <w:rFonts w:ascii="Times New Roman" w:eastAsia="Times New Roman" w:hAnsi="Times New Roman" w:cs="Times New Roman"/>
        </w:rPr>
        <w:t>Prior to the enactment of 2025 Wisconsin Act 24, threats directed at Department of Revenue employees or their family members were addressed by Wis JI–Criminal 1242. Following the Act’s enactment, however, Wis JI–Criminal 1242 now applies only to offenses involving battery against Department of Revenue employees or their family members.</w:t>
      </w:r>
    </w:p>
    <w:p w14:paraId="4F162A40" w14:textId="313B5A88" w:rsidR="004207F8" w:rsidRPr="001E150E" w:rsidRDefault="004207F8" w:rsidP="00940C76">
      <w:pPr>
        <w:widowControl w:val="0"/>
        <w:autoSpaceDE w:val="0"/>
        <w:autoSpaceDN w:val="0"/>
        <w:adjustRightInd w:val="0"/>
        <w:spacing w:after="0" w:line="240" w:lineRule="auto"/>
        <w:ind w:firstLine="450"/>
        <w:jc w:val="both"/>
        <w:rPr>
          <w:rFonts w:ascii="Times New Roman" w:eastAsia="Times New Roman" w:hAnsi="Times New Roman" w:cs="Times New Roman"/>
        </w:rPr>
      </w:pPr>
    </w:p>
    <w:p w14:paraId="08090B52" w14:textId="77777777" w:rsidR="004207F8" w:rsidRPr="001E150E" w:rsidRDefault="004207F8" w:rsidP="004207F8">
      <w:pPr>
        <w:spacing w:after="0" w:line="240" w:lineRule="auto"/>
        <w:ind w:firstLine="450"/>
        <w:jc w:val="both"/>
        <w:rPr>
          <w:rFonts w:ascii="Times New Roman" w:hAnsi="Times New Roman" w:cs="Times New Roman"/>
        </w:rPr>
      </w:pPr>
      <w:r w:rsidRPr="001E150E">
        <w:rPr>
          <w:rFonts w:ascii="Times New Roman" w:hAnsi="Times New Roman" w:cs="Times New Roman"/>
        </w:rPr>
        <w:t>This instruction is drafted for violations of § 947.016(4) involving threats to Department of Revenue officials, employees, or agents, or their family members. For violations involving threats to Department of Safety and Professional Services or Department of Workforce Development officials, employees, or agents, or their family members under the same statutory provision, see Wis JI–Criminal 1244A. For battery to Department of Revenue officials, employees, or agents, or their family members, see Wis JI–Criminal 1242.</w:t>
      </w:r>
    </w:p>
    <w:p w14:paraId="5E040841" w14:textId="77777777" w:rsidR="004207F8" w:rsidRPr="001E150E" w:rsidRDefault="004207F8" w:rsidP="004207F8">
      <w:pPr>
        <w:spacing w:after="0" w:line="240" w:lineRule="auto"/>
        <w:ind w:firstLine="450"/>
        <w:jc w:val="both"/>
        <w:rPr>
          <w:rFonts w:ascii="Times New Roman" w:hAnsi="Times New Roman" w:cs="Times New Roman"/>
        </w:rPr>
      </w:pPr>
    </w:p>
    <w:p w14:paraId="4D0CF111" w14:textId="01A13192" w:rsidR="004207F8" w:rsidRPr="001E150E" w:rsidRDefault="004207F8" w:rsidP="004207F8">
      <w:pPr>
        <w:spacing w:after="0" w:line="240" w:lineRule="auto"/>
        <w:ind w:firstLine="450"/>
        <w:jc w:val="both"/>
        <w:rPr>
          <w:rFonts w:ascii="Times New Roman" w:hAnsi="Times New Roman" w:cs="Times New Roman"/>
        </w:rPr>
      </w:pPr>
      <w:r w:rsidRPr="001E150E">
        <w:rPr>
          <w:rFonts w:ascii="Times New Roman" w:hAnsi="Times New Roman" w:cs="Times New Roman"/>
        </w:rPr>
        <w:t>Prior to the enactment of 2025 Wisconsin Act 24, threats directed at Department of Revenue employees were codified in former § 940.205, which combined battery and threat provisions in a single statute. Act 24 repealed § 940.205 and split its provisions: battery to Department of Revenue officials, employees, or agents is now codified at § 940.62(2)(c), and threatening to cause bodily harm to Department of Revenue officials, employees, or agents is now codified at § 947.016(4), together with threats against Department of Safety and Professional Services and Department of Workforce Development officials, employees, or agents.</w:t>
      </w:r>
    </w:p>
    <w:p w14:paraId="7F652A89" w14:textId="1AE6C33F" w:rsidR="00940C76" w:rsidRPr="001E150E" w:rsidRDefault="00940C76" w:rsidP="00940C76">
      <w:pPr>
        <w:widowControl w:val="0"/>
        <w:autoSpaceDE w:val="0"/>
        <w:autoSpaceDN w:val="0"/>
        <w:adjustRightInd w:val="0"/>
        <w:spacing w:after="0" w:line="240" w:lineRule="auto"/>
        <w:ind w:firstLine="450"/>
        <w:jc w:val="both"/>
        <w:rPr>
          <w:rFonts w:ascii="Times New Roman" w:eastAsia="Times New Roman" w:hAnsi="Times New Roman" w:cs="Times New Roman"/>
        </w:rPr>
      </w:pPr>
    </w:p>
    <w:p w14:paraId="157EFF43" w14:textId="13AABE0E" w:rsidR="004D7571" w:rsidRPr="001E150E" w:rsidRDefault="00940C76" w:rsidP="00940C76">
      <w:pPr>
        <w:widowControl w:val="0"/>
        <w:autoSpaceDE w:val="0"/>
        <w:autoSpaceDN w:val="0"/>
        <w:adjustRightInd w:val="0"/>
        <w:spacing w:after="0" w:line="240" w:lineRule="auto"/>
        <w:ind w:firstLine="450"/>
        <w:jc w:val="both"/>
        <w:rPr>
          <w:rFonts w:ascii="Times New Roman" w:hAnsi="Times New Roman" w:cs="Times New Roman"/>
        </w:rPr>
      </w:pPr>
      <w:r w:rsidRPr="001E150E">
        <w:rPr>
          <w:rFonts w:ascii="Times New Roman" w:hAnsi="Times New Roman" w:cs="Times New Roman"/>
          <w:b/>
          <w:bCs/>
          <w:u w:val="single"/>
        </w:rPr>
        <w:t>Note</w:t>
      </w:r>
      <w:r w:rsidRPr="001E150E">
        <w:rPr>
          <w:rFonts w:ascii="Times New Roman" w:hAnsi="Times New Roman" w:cs="Times New Roman"/>
        </w:rPr>
        <w:t>: § 947.016(4) does not use the word “intentionally” in connection with the threat. Prior to the enactment of 2025 Wisconsin Act 24</w:t>
      </w:r>
      <w:r w:rsidR="00453FCE">
        <w:rPr>
          <w:rFonts w:ascii="Times New Roman" w:hAnsi="Times New Roman" w:cs="Times New Roman"/>
        </w:rPr>
        <w:t>,</w:t>
      </w:r>
      <w:r w:rsidRPr="001E150E">
        <w:rPr>
          <w:rFonts w:ascii="Times New Roman" w:hAnsi="Times New Roman" w:cs="Times New Roman"/>
        </w:rPr>
        <w:t xml:space="preserve"> many Wisconsin threat statutes required that the defendant “intentionally threatened.” Under those statutes, the statutory mens rea (intentional purpose) exceeded the constitutional minimum (recklessness) established by </w:t>
      </w:r>
      <w:r w:rsidRPr="001E150E">
        <w:rPr>
          <w:rFonts w:ascii="Times New Roman" w:hAnsi="Times New Roman" w:cs="Times New Roman"/>
          <w:u w:val="single"/>
        </w:rPr>
        <w:t>Counterman v. Colorado</w:t>
      </w:r>
      <w:r w:rsidRPr="00453FCE">
        <w:rPr>
          <w:rFonts w:ascii="Times New Roman" w:hAnsi="Times New Roman" w:cs="Times New Roman"/>
        </w:rPr>
        <w:t>, 600 U.S.</w:t>
      </w:r>
      <w:r w:rsidRPr="001E150E">
        <w:rPr>
          <w:rFonts w:ascii="Times New Roman" w:hAnsi="Times New Roman" w:cs="Times New Roman"/>
        </w:rPr>
        <w:t xml:space="preserve"> 66. By contrast, because § 947.016(4) does not impose an intent requirement for the threat element, Element 5 of this instruction—the </w:t>
      </w:r>
      <w:r w:rsidRPr="001E150E">
        <w:rPr>
          <w:rFonts w:ascii="Times New Roman" w:hAnsi="Times New Roman" w:cs="Times New Roman"/>
          <w:u w:val="single"/>
        </w:rPr>
        <w:t>Counterman/Kindschy</w:t>
      </w:r>
      <w:r w:rsidRPr="001E150E">
        <w:rPr>
          <w:rFonts w:ascii="Times New Roman" w:hAnsi="Times New Roman" w:cs="Times New Roman"/>
        </w:rPr>
        <w:t xml:space="preserve"> recklessness standard—functions both as the constitutional minimum and as the operative mens rea for true-threat prosecutions under the statute.</w:t>
      </w:r>
    </w:p>
    <w:p w14:paraId="4282653C" w14:textId="77777777" w:rsidR="00940C76" w:rsidRPr="00940C76" w:rsidRDefault="00940C76" w:rsidP="00940C76">
      <w:pPr>
        <w:widowControl w:val="0"/>
        <w:autoSpaceDE w:val="0"/>
        <w:autoSpaceDN w:val="0"/>
        <w:adjustRightInd w:val="0"/>
        <w:spacing w:after="0" w:line="240" w:lineRule="auto"/>
        <w:ind w:firstLine="450"/>
        <w:jc w:val="both"/>
        <w:rPr>
          <w:rFonts w:ascii="Times New Roman" w:hAnsi="Times New Roman" w:cs="Times New Roman"/>
          <w:color w:val="C00000"/>
        </w:rPr>
      </w:pPr>
    </w:p>
    <w:sectPr w:rsidR="00940C76" w:rsidRPr="00940C76" w:rsidSect="001E150E">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AD6C" w14:textId="77777777" w:rsidR="00B23DCA" w:rsidRDefault="00B23DCA" w:rsidP="00B23DCA">
      <w:pPr>
        <w:spacing w:after="0" w:line="240" w:lineRule="auto"/>
      </w:pPr>
      <w:r>
        <w:separator/>
      </w:r>
    </w:p>
  </w:endnote>
  <w:endnote w:type="continuationSeparator" w:id="0">
    <w:p w14:paraId="49DEFD7E" w14:textId="77777777" w:rsidR="00B23DCA" w:rsidRDefault="00B23DCA" w:rsidP="00B23DCA">
      <w:pPr>
        <w:spacing w:after="0" w:line="240" w:lineRule="auto"/>
      </w:pPr>
      <w:r>
        <w:continuationSeparator/>
      </w:r>
    </w:p>
  </w:endnote>
  <w:endnote w:id="1">
    <w:p w14:paraId="6000563F" w14:textId="77777777" w:rsidR="004207F8" w:rsidRPr="001E150E" w:rsidRDefault="00B23DCA" w:rsidP="004207F8">
      <w:pPr>
        <w:pStyle w:val="NoSpacing"/>
        <w:tabs>
          <w:tab w:val="left" w:pos="900"/>
        </w:tabs>
        <w:ind w:firstLine="450"/>
        <w:jc w:val="both"/>
        <w:rPr>
          <w:rFonts w:ascii="Times New Roman" w:hAnsi="Times New Roman" w:cs="Times New Roman"/>
        </w:rPr>
      </w:pPr>
      <w:r w:rsidRPr="001E150E">
        <w:rPr>
          <w:rFonts w:ascii="Times New Roman" w:hAnsi="Times New Roman" w:cs="Times New Roman"/>
        </w:rPr>
        <w:endnoteRef/>
      </w:r>
      <w:r w:rsidRPr="001E150E">
        <w:rPr>
          <w:rFonts w:ascii="Times New Roman" w:hAnsi="Times New Roman" w:cs="Times New Roman"/>
        </w:rPr>
        <w:t xml:space="preserve">. </w:t>
      </w:r>
      <w:r w:rsidRPr="001E150E">
        <w:rPr>
          <w:rFonts w:ascii="Times New Roman" w:hAnsi="Times New Roman" w:cs="Times New Roman"/>
        </w:rPr>
        <w:tab/>
        <w:t>Section 940.51(10) provides:</w:t>
      </w:r>
    </w:p>
    <w:p w14:paraId="0C60A957" w14:textId="77777777" w:rsidR="004207F8" w:rsidRPr="001E150E" w:rsidRDefault="004207F8" w:rsidP="004207F8">
      <w:pPr>
        <w:pStyle w:val="NoSpacing"/>
        <w:tabs>
          <w:tab w:val="left" w:pos="900"/>
        </w:tabs>
        <w:ind w:firstLine="450"/>
        <w:jc w:val="both"/>
        <w:rPr>
          <w:rFonts w:ascii="Times New Roman" w:hAnsi="Times New Roman" w:cs="Times New Roman"/>
        </w:rPr>
      </w:pPr>
    </w:p>
    <w:p w14:paraId="6EA69E79" w14:textId="734D1976" w:rsidR="004207F8" w:rsidRPr="001E150E" w:rsidRDefault="004207F8" w:rsidP="004207F8">
      <w:pPr>
        <w:pStyle w:val="NoSpacing"/>
        <w:tabs>
          <w:tab w:val="left" w:pos="900"/>
        </w:tabs>
        <w:ind w:firstLine="450"/>
        <w:jc w:val="both"/>
        <w:rPr>
          <w:rFonts w:ascii="Times New Roman" w:eastAsia="Times New Roman" w:hAnsi="Times New Roman" w:cs="Times New Roman"/>
        </w:rPr>
      </w:pPr>
      <w:r w:rsidRPr="001E150E">
        <w:rPr>
          <w:rFonts w:ascii="Times New Roman" w:eastAsia="Times New Roman" w:hAnsi="Times New Roman" w:cs="Times New Roman"/>
        </w:rPr>
        <w:t>“‘Family member’ means a spouse, child, stepchild, foster child, parent, legal guardian, sibling, grandparent, or grandchild.”</w:t>
      </w:r>
    </w:p>
    <w:p w14:paraId="6FD6C02C" w14:textId="77777777" w:rsidR="004207F8" w:rsidRPr="001E150E" w:rsidRDefault="004207F8" w:rsidP="004207F8">
      <w:pPr>
        <w:pStyle w:val="NoSpacing"/>
        <w:tabs>
          <w:tab w:val="left" w:pos="900"/>
        </w:tabs>
        <w:ind w:firstLine="450"/>
        <w:jc w:val="both"/>
        <w:rPr>
          <w:rFonts w:ascii="Times New Roman" w:hAnsi="Times New Roman" w:cs="Times New Roman"/>
        </w:rPr>
      </w:pPr>
    </w:p>
    <w:p w14:paraId="1434E476" w14:textId="091A77FA" w:rsidR="00B23DCA" w:rsidRPr="001E150E" w:rsidRDefault="004207F8" w:rsidP="004207F8">
      <w:pPr>
        <w:pStyle w:val="NoSpacing"/>
        <w:ind w:left="450" w:right="450"/>
        <w:jc w:val="both"/>
        <w:rPr>
          <w:rFonts w:ascii="Times New Roman" w:hAnsi="Times New Roman" w:cs="Times New Roman"/>
        </w:rPr>
      </w:pPr>
      <w:r w:rsidRPr="001E150E">
        <w:rPr>
          <w:rFonts w:ascii="Times New Roman" w:hAnsi="Times New Roman" w:cs="Times New Roman"/>
        </w:rPr>
        <w:t>The applicable term should be inserted in the blank.</w:t>
      </w:r>
    </w:p>
    <w:p w14:paraId="5C093729" w14:textId="77777777" w:rsidR="00940C76" w:rsidRPr="001E150E" w:rsidRDefault="00940C76" w:rsidP="00B23DCA">
      <w:pPr>
        <w:pStyle w:val="NoSpacing"/>
        <w:ind w:left="450"/>
        <w:jc w:val="both"/>
      </w:pPr>
    </w:p>
  </w:endnote>
  <w:endnote w:id="2">
    <w:p w14:paraId="7EE21871" w14:textId="56816534" w:rsidR="00B23DCA" w:rsidRPr="001E150E" w:rsidRDefault="00B23DCA" w:rsidP="00B23DCA">
      <w:pPr>
        <w:pStyle w:val="EndnoteText"/>
        <w:tabs>
          <w:tab w:val="left" w:pos="900"/>
        </w:tabs>
        <w:ind w:firstLine="450"/>
        <w:jc w:val="both"/>
        <w:rPr>
          <w:rFonts w:ascii="Times New Roman" w:hAnsi="Times New Roman" w:cs="Times New Roman"/>
          <w:sz w:val="22"/>
          <w:szCs w:val="22"/>
        </w:rPr>
      </w:pPr>
      <w:r w:rsidRPr="001E150E">
        <w:rPr>
          <w:rFonts w:ascii="Times New Roman" w:hAnsi="Times New Roman" w:cs="Times New Roman"/>
          <w:sz w:val="22"/>
          <w:szCs w:val="22"/>
        </w:rPr>
        <w:endnoteRef/>
      </w:r>
      <w:r w:rsidRPr="001E150E">
        <w:rPr>
          <w:rFonts w:ascii="Times New Roman" w:hAnsi="Times New Roman" w:cs="Times New Roman"/>
          <w:sz w:val="22"/>
          <w:szCs w:val="22"/>
        </w:rPr>
        <w:t>.</w:t>
      </w:r>
      <w:r w:rsidRPr="001E150E">
        <w:rPr>
          <w:rFonts w:ascii="Times New Roman" w:hAnsi="Times New Roman" w:cs="Times New Roman"/>
          <w:sz w:val="22"/>
          <w:szCs w:val="22"/>
        </w:rPr>
        <w:tab/>
        <w:t xml:space="preserve">See </w:t>
      </w:r>
      <w:r w:rsidRPr="001E150E">
        <w:rPr>
          <w:rFonts w:ascii="Times New Roman" w:hAnsi="Times New Roman" w:cs="Times New Roman"/>
          <w:sz w:val="22"/>
          <w:szCs w:val="22"/>
          <w:u w:val="single"/>
        </w:rPr>
        <w:t>Counterman v. Colorado</w:t>
      </w:r>
      <w:r w:rsidRPr="001E150E">
        <w:rPr>
          <w:rFonts w:ascii="Times New Roman" w:hAnsi="Times New Roman" w:cs="Times New Roman"/>
          <w:sz w:val="22"/>
          <w:szCs w:val="22"/>
        </w:rPr>
        <w:t xml:space="preserve">, 600 U.S. </w:t>
      </w:r>
      <w:r w:rsidR="00453FCE">
        <w:rPr>
          <w:rFonts w:ascii="Times New Roman" w:hAnsi="Times New Roman" w:cs="Times New Roman"/>
          <w:sz w:val="22"/>
          <w:szCs w:val="22"/>
        </w:rPr>
        <w:t xml:space="preserve">66, </w:t>
      </w:r>
      <w:r w:rsidRPr="001E150E">
        <w:rPr>
          <w:rFonts w:ascii="Times New Roman" w:hAnsi="Times New Roman" w:cs="Times New Roman"/>
          <w:sz w:val="22"/>
          <w:szCs w:val="22"/>
        </w:rPr>
        <w:t>74</w:t>
      </w:r>
      <w:r w:rsidR="00453FCE">
        <w:rPr>
          <w:rFonts w:ascii="Times New Roman" w:hAnsi="Times New Roman" w:cs="Times New Roman"/>
          <w:sz w:val="22"/>
          <w:szCs w:val="22"/>
        </w:rPr>
        <w:t xml:space="preserve"> </w:t>
      </w:r>
      <w:r w:rsidRPr="001E150E">
        <w:rPr>
          <w:rFonts w:ascii="Times New Roman" w:hAnsi="Times New Roman" w:cs="Times New Roman"/>
          <w:sz w:val="22"/>
          <w:szCs w:val="22"/>
        </w:rPr>
        <w:t xml:space="preserve">(2023). Justice </w:t>
      </w:r>
      <w:r w:rsidR="003602F2" w:rsidRPr="001E150E">
        <w:rPr>
          <w:rFonts w:ascii="Times New Roman" w:hAnsi="Times New Roman" w:cs="Times New Roman"/>
          <w:sz w:val="22"/>
          <w:szCs w:val="22"/>
        </w:rPr>
        <w:t>Bradley’</w:t>
      </w:r>
      <w:r w:rsidRPr="001E150E">
        <w:rPr>
          <w:rFonts w:ascii="Times New Roman" w:hAnsi="Times New Roman" w:cs="Times New Roman"/>
          <w:sz w:val="22"/>
          <w:szCs w:val="22"/>
        </w:rPr>
        <w:t xml:space="preserve">s concurrence in </w:t>
      </w:r>
      <w:r w:rsidRPr="001E150E">
        <w:rPr>
          <w:rFonts w:ascii="Times New Roman" w:hAnsi="Times New Roman" w:cs="Times New Roman"/>
          <w:sz w:val="22"/>
          <w:szCs w:val="22"/>
          <w:u w:val="single"/>
        </w:rPr>
        <w:t>Kindschy v. Aish</w:t>
      </w:r>
      <w:r w:rsidRPr="001E150E">
        <w:rPr>
          <w:rFonts w:ascii="Times New Roman" w:hAnsi="Times New Roman" w:cs="Times New Roman"/>
          <w:sz w:val="22"/>
          <w:szCs w:val="22"/>
        </w:rPr>
        <w:t xml:space="preserve">, 2024 WI 27, ¶44, 412 Wis.2d 319, 8 N.W.3d 1, acknowledges </w:t>
      </w:r>
      <w:r w:rsidRPr="001E150E">
        <w:rPr>
          <w:rFonts w:ascii="Times New Roman" w:hAnsi="Times New Roman" w:cs="Times New Roman"/>
          <w:sz w:val="22"/>
          <w:szCs w:val="22"/>
          <w:u w:val="single"/>
        </w:rPr>
        <w:t>Counterman</w:t>
      </w:r>
      <w:r w:rsidRPr="001E150E">
        <w:rPr>
          <w:rFonts w:ascii="Times New Roman" w:hAnsi="Times New Roman" w:cs="Times New Roman"/>
          <w:sz w:val="22"/>
          <w:szCs w:val="22"/>
        </w:rPr>
        <w:t xml:space="preserve">’s recklessness standard. Element 5 reflects the </w:t>
      </w:r>
      <w:r w:rsidRPr="001E150E">
        <w:rPr>
          <w:rFonts w:ascii="Times New Roman" w:hAnsi="Times New Roman" w:cs="Times New Roman"/>
          <w:sz w:val="22"/>
          <w:szCs w:val="22"/>
          <w:u w:val="single"/>
        </w:rPr>
        <w:t>Counterman</w:t>
      </w:r>
      <w:r w:rsidRPr="001E150E">
        <w:rPr>
          <w:rFonts w:ascii="Times New Roman" w:hAnsi="Times New Roman" w:cs="Times New Roman"/>
          <w:sz w:val="22"/>
          <w:szCs w:val="22"/>
        </w:rPr>
        <w:t xml:space="preserve"> standard as the constitutionally required minimum mens rea for true-threat prosecutions.</w:t>
      </w:r>
    </w:p>
    <w:p w14:paraId="42D095DF" w14:textId="77777777" w:rsidR="00B23DCA" w:rsidRPr="001E150E" w:rsidRDefault="00B23DCA" w:rsidP="00B23DCA">
      <w:pPr>
        <w:pStyle w:val="EndnoteText"/>
        <w:rPr>
          <w:rFonts w:ascii="Times New Roman" w:hAnsi="Times New Roman" w:cs="Times New Roman"/>
          <w:sz w:val="22"/>
          <w:szCs w:val="22"/>
        </w:rPr>
      </w:pPr>
    </w:p>
  </w:endnote>
  <w:endnote w:id="3">
    <w:p w14:paraId="5712585D" w14:textId="77777777" w:rsidR="00B23DCA" w:rsidRPr="001E150E" w:rsidRDefault="00B23DCA" w:rsidP="00B23DCA">
      <w:pPr>
        <w:tabs>
          <w:tab w:val="left" w:pos="900"/>
        </w:tabs>
        <w:ind w:firstLine="450"/>
        <w:jc w:val="both"/>
        <w:rPr>
          <w:rFonts w:ascii="Times New Roman" w:hAnsi="Times New Roman" w:cs="Times New Roman"/>
        </w:rPr>
      </w:pPr>
      <w:r w:rsidRPr="001E150E">
        <w:rPr>
          <w:rFonts w:ascii="Times New Roman" w:hAnsi="Times New Roman" w:cs="Times New Roman"/>
        </w:rPr>
        <w:endnoteRef/>
      </w:r>
      <w:r w:rsidRPr="001E150E">
        <w:rPr>
          <w:rFonts w:ascii="Times New Roman" w:hAnsi="Times New Roman" w:cs="Times New Roman"/>
        </w:rPr>
        <w:t>.</w:t>
      </w:r>
      <w:r w:rsidRPr="001E150E">
        <w:rPr>
          <w:rFonts w:ascii="Times New Roman" w:hAnsi="Times New Roman" w:cs="Times New Roman"/>
        </w:rPr>
        <w:tab/>
      </w:r>
      <w:r w:rsidRPr="001E150E">
        <w:rPr>
          <w:rFonts w:ascii="Times New Roman" w:eastAsia="Times New Roman" w:hAnsi="Times New Roman" w:cs="Times New Roman"/>
        </w:rPr>
        <w:t xml:space="preserve">This definition was originally based on one of the descriptions of “true threat” in </w:t>
      </w:r>
      <w:r w:rsidRPr="001E150E">
        <w:rPr>
          <w:rFonts w:ascii="Times New Roman" w:eastAsia="Times New Roman" w:hAnsi="Times New Roman" w:cs="Times New Roman"/>
          <w:u w:val="single"/>
        </w:rPr>
        <w:t>State v. Perkins</w:t>
      </w:r>
      <w:r w:rsidRPr="001E150E">
        <w:rPr>
          <w:rFonts w:ascii="Times New Roman" w:eastAsia="Times New Roman" w:hAnsi="Times New Roman" w:cs="Times New Roman"/>
        </w:rPr>
        <w:t xml:space="preserve">, 2001 WI 46, 28, 243 Wis.2d 141, 626 N.W.2d 762. </w:t>
      </w:r>
      <w:r w:rsidRPr="001E150E">
        <w:rPr>
          <w:rFonts w:ascii="Times New Roman" w:eastAsia="Times New Roman" w:hAnsi="Times New Roman" w:cs="Times New Roman"/>
          <w:u w:val="single"/>
        </w:rPr>
        <w:t>Perkins</w:t>
      </w:r>
      <w:r w:rsidRPr="001E150E">
        <w:rPr>
          <w:rFonts w:ascii="Times New Roman" w:eastAsia="Times New Roman" w:hAnsi="Times New Roman" w:cs="Times New Roman"/>
        </w:rPr>
        <w:t xml:space="preserve"> held that a jury instruction for a threat to a judge in violation of § 940.203 was an incomplete statement of the law because it did not define “threat” as “true threat.” This created an unacceptable risk that “the jury may have used the common definition of ‘threat,’ thereby violating the defendant’s constitutional right to freedom of speech.” 2001 WI 46, ¶43. The court stated: “The common definition of threat is an expression of an intention to inflict injury on another. The definition of threat for the purposes of the statute criminalizing language is much narrower.” 2001 WI 46, 43.</w:t>
      </w:r>
    </w:p>
    <w:p w14:paraId="75D4C525" w14:textId="77777777" w:rsidR="00B23DCA" w:rsidRPr="001E150E" w:rsidRDefault="00B23DCA" w:rsidP="00B23DCA">
      <w:pPr>
        <w:spacing w:after="0" w:line="240" w:lineRule="auto"/>
        <w:ind w:firstLine="450"/>
        <w:jc w:val="both"/>
        <w:rPr>
          <w:rFonts w:ascii="Times New Roman" w:eastAsia="Calibri" w:hAnsi="Times New Roman" w:cs="Times New Roman"/>
        </w:rPr>
      </w:pPr>
      <w:r w:rsidRPr="001E150E">
        <w:rPr>
          <w:rFonts w:ascii="Times New Roman" w:eastAsia="Calibri" w:hAnsi="Times New Roman" w:cs="Times New Roman"/>
        </w:rPr>
        <w:t xml:space="preserve">In </w:t>
      </w:r>
      <w:r w:rsidRPr="001E150E">
        <w:rPr>
          <w:rFonts w:ascii="Times New Roman" w:eastAsia="Calibri" w:hAnsi="Times New Roman" w:cs="Times New Roman"/>
          <w:u w:val="single"/>
        </w:rPr>
        <w:t>Counterman v. Colorado</w:t>
      </w:r>
      <w:r w:rsidRPr="001E150E">
        <w:rPr>
          <w:rFonts w:ascii="Times New Roman" w:eastAsia="Calibri" w:hAnsi="Times New Roman" w:cs="Times New Roman"/>
        </w:rPr>
        <w:t xml:space="preserve">, 600 U.S. 66, ¶79, 143 S. Ct. 2106 (2023), the U.S. Supreme Court clarified that true threats must be evaluated based on their objective content—how a reasonable listener would perceive them—and that criminal liability requires a mens rea of at least recklessness, meaning the speaker must have “consciously disregarded a substantial risk that [the communications] would be viewed as threatening violence.” The Wisconsin Supreme Court adopted the </w:t>
      </w:r>
      <w:r w:rsidRPr="001E150E">
        <w:rPr>
          <w:rFonts w:ascii="Times New Roman" w:eastAsia="Calibri" w:hAnsi="Times New Roman" w:cs="Times New Roman"/>
          <w:u w:val="single"/>
        </w:rPr>
        <w:t>Counterman</w:t>
      </w:r>
      <w:r w:rsidRPr="001E150E">
        <w:rPr>
          <w:rFonts w:ascii="Times New Roman" w:eastAsia="Calibri" w:hAnsi="Times New Roman" w:cs="Times New Roman"/>
        </w:rPr>
        <w:t xml:space="preserve"> recklessness standard in </w:t>
      </w:r>
      <w:r w:rsidRPr="001E150E">
        <w:rPr>
          <w:rFonts w:ascii="Times New Roman" w:eastAsia="Calibri" w:hAnsi="Times New Roman" w:cs="Times New Roman"/>
          <w:u w:val="single"/>
        </w:rPr>
        <w:t>Kindschy v. Aish</w:t>
      </w:r>
      <w:r w:rsidRPr="001E150E">
        <w:rPr>
          <w:rFonts w:ascii="Times New Roman" w:eastAsia="Calibri" w:hAnsi="Times New Roman" w:cs="Times New Roman"/>
        </w:rPr>
        <w:t xml:space="preserve">, </w:t>
      </w:r>
      <w:r w:rsidRPr="001E150E">
        <w:rPr>
          <w:rFonts w:ascii="Times New Roman" w:eastAsia="Calibri" w:hAnsi="Times New Roman" w:cs="Times New Roman"/>
          <w:u w:val="single"/>
        </w:rPr>
        <w:t>supra</w:t>
      </w:r>
      <w:r w:rsidRPr="001E150E">
        <w:rPr>
          <w:rFonts w:ascii="Times New Roman" w:eastAsia="Calibri" w:hAnsi="Times New Roman" w:cs="Times New Roman"/>
        </w:rPr>
        <w:t xml:space="preserve">, at ¶¶14–15, abrogating the purely speaker-focused objective test previously employed under </w:t>
      </w:r>
      <w:r w:rsidRPr="001E150E">
        <w:rPr>
          <w:rFonts w:ascii="Times New Roman" w:eastAsia="Calibri" w:hAnsi="Times New Roman" w:cs="Times New Roman"/>
          <w:u w:val="single"/>
        </w:rPr>
        <w:t>Perkins</w:t>
      </w:r>
      <w:r w:rsidRPr="001E150E">
        <w:rPr>
          <w:rFonts w:ascii="Times New Roman" w:eastAsia="Calibri" w:hAnsi="Times New Roman" w:cs="Times New Roman"/>
        </w:rPr>
        <w:t xml:space="preserve">. Accordingly, the Committee revised the former </w:t>
      </w:r>
      <w:r w:rsidRPr="001E150E">
        <w:rPr>
          <w:rFonts w:ascii="Times New Roman" w:eastAsia="Calibri" w:hAnsi="Times New Roman" w:cs="Times New Roman"/>
          <w:u w:val="single"/>
        </w:rPr>
        <w:t>Perkins</w:t>
      </w:r>
      <w:r w:rsidRPr="001E150E">
        <w:rPr>
          <w:rFonts w:ascii="Times New Roman" w:eastAsia="Calibri" w:hAnsi="Times New Roman" w:cs="Times New Roman"/>
        </w:rPr>
        <w:t xml:space="preserve">–based definition to reflect the </w:t>
      </w:r>
      <w:r w:rsidRPr="001E150E">
        <w:rPr>
          <w:rFonts w:ascii="Times New Roman" w:eastAsia="Calibri" w:hAnsi="Times New Roman" w:cs="Times New Roman"/>
          <w:u w:val="single"/>
        </w:rPr>
        <w:t>Counterman/Kindschy</w:t>
      </w:r>
      <w:r w:rsidRPr="001E150E">
        <w:rPr>
          <w:rFonts w:ascii="Times New Roman" w:eastAsia="Calibri" w:hAnsi="Times New Roman" w:cs="Times New Roman"/>
        </w:rPr>
        <w:t xml:space="preserve"> approach.</w:t>
      </w:r>
    </w:p>
    <w:p w14:paraId="7E9C02B7" w14:textId="77777777" w:rsidR="00B23DCA" w:rsidRPr="001E150E" w:rsidRDefault="00B23DCA" w:rsidP="00B23DCA">
      <w:pPr>
        <w:spacing w:after="0" w:line="240" w:lineRule="auto"/>
        <w:jc w:val="both"/>
        <w:rPr>
          <w:rFonts w:ascii="Times New Roman" w:eastAsia="Calibri" w:hAnsi="Times New Roman" w:cs="Times New Roman"/>
        </w:rPr>
      </w:pPr>
    </w:p>
    <w:p w14:paraId="4221246F" w14:textId="66E2CFA1" w:rsidR="00B23DCA" w:rsidRPr="001E150E" w:rsidRDefault="00B23DCA" w:rsidP="00B23DCA">
      <w:pPr>
        <w:spacing w:after="0" w:line="240" w:lineRule="auto"/>
        <w:ind w:firstLine="450"/>
        <w:jc w:val="both"/>
        <w:rPr>
          <w:rFonts w:ascii="Times New Roman" w:eastAsia="Calibri" w:hAnsi="Times New Roman" w:cs="Times New Roman"/>
        </w:rPr>
      </w:pPr>
      <w:r w:rsidRPr="001E150E">
        <w:rPr>
          <w:rFonts w:ascii="Times New Roman" w:eastAsia="Calibri" w:hAnsi="Times New Roman" w:cs="Times New Roman"/>
        </w:rPr>
        <w:t>When deciding whether a statement is a true threat, the jury should consider the totality of circumstances.  Relevant factors may include whether the threat was conditional; whether it was made directly to a specific person; how the recipient and others reacted; and whether the defendant had made similar statements or had the means to carry out the threat.  The jury may also consider all other facts and context to determine if a statement was a true threat.</w:t>
      </w:r>
      <w:r w:rsidRPr="001E150E">
        <w:rPr>
          <w:rFonts w:ascii="Times New Roman" w:eastAsia="Times New Roman" w:hAnsi="Times New Roman" w:cs="Times New Roman"/>
        </w:rPr>
        <w:t xml:space="preserve"> </w:t>
      </w:r>
      <w:r w:rsidRPr="001E150E">
        <w:rPr>
          <w:rFonts w:ascii="Times New Roman" w:eastAsia="Calibri" w:hAnsi="Times New Roman" w:cs="Times New Roman"/>
        </w:rPr>
        <w:t xml:space="preserve">See </w:t>
      </w:r>
      <w:r w:rsidRPr="001E150E">
        <w:rPr>
          <w:rFonts w:ascii="Times New Roman" w:eastAsia="Calibri" w:hAnsi="Times New Roman" w:cs="Times New Roman"/>
          <w:u w:val="single"/>
        </w:rPr>
        <w:t>Perkins</w:t>
      </w:r>
      <w:r w:rsidRPr="001E150E">
        <w:rPr>
          <w:rFonts w:ascii="Times New Roman" w:eastAsia="Calibri" w:hAnsi="Times New Roman" w:cs="Times New Roman"/>
        </w:rPr>
        <w:t xml:space="preserve">, </w:t>
      </w:r>
      <w:r w:rsidRPr="001E150E">
        <w:rPr>
          <w:rFonts w:ascii="Times New Roman" w:eastAsia="Calibri" w:hAnsi="Times New Roman" w:cs="Times New Roman"/>
          <w:u w:val="single"/>
        </w:rPr>
        <w:t>supra</w:t>
      </w:r>
      <w:r w:rsidRPr="001E150E">
        <w:rPr>
          <w:rFonts w:ascii="Times New Roman" w:eastAsia="Calibri" w:hAnsi="Times New Roman" w:cs="Times New Roman"/>
        </w:rPr>
        <w:t xml:space="preserve">, at ¶ 31, citing </w:t>
      </w:r>
      <w:r w:rsidRPr="00453FCE">
        <w:rPr>
          <w:rFonts w:ascii="Times New Roman" w:eastAsia="Calibri" w:hAnsi="Times New Roman" w:cs="Times New Roman"/>
          <w:u w:val="single"/>
        </w:rPr>
        <w:t>United States v. Hart</w:t>
      </w:r>
      <w:r w:rsidRPr="001E150E">
        <w:rPr>
          <w:rFonts w:ascii="Times New Roman" w:eastAsia="Calibri" w:hAnsi="Times New Roman" w:cs="Times New Roman"/>
        </w:rPr>
        <w:t>, 212 F.3d 1067, 1071 (8th Cir. 2000).</w:t>
      </w:r>
    </w:p>
    <w:p w14:paraId="0C7F9D34" w14:textId="77777777" w:rsidR="00B23DCA" w:rsidRPr="001E150E" w:rsidRDefault="00B23DCA" w:rsidP="00B23DCA">
      <w:pPr>
        <w:widowControl w:val="0"/>
        <w:autoSpaceDE w:val="0"/>
        <w:autoSpaceDN w:val="0"/>
        <w:adjustRightInd w:val="0"/>
        <w:spacing w:after="0" w:line="240" w:lineRule="auto"/>
        <w:jc w:val="both"/>
        <w:rPr>
          <w:rFonts w:ascii="Times New Roman" w:eastAsia="Times New Roman" w:hAnsi="Times New Roman" w:cs="Times New Roman"/>
        </w:rPr>
      </w:pPr>
    </w:p>
    <w:p w14:paraId="16BE966E" w14:textId="77777777" w:rsidR="00B23DCA" w:rsidRPr="001E150E" w:rsidRDefault="00B23DCA" w:rsidP="00B23DCA">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1E150E">
        <w:rPr>
          <w:rFonts w:ascii="Times New Roman" w:eastAsia="Times New Roman" w:hAnsi="Times New Roman" w:cs="Times New Roman"/>
          <w:u w:val="single"/>
        </w:rPr>
        <w:t>Perkins</w:t>
      </w:r>
      <w:r w:rsidRPr="001E150E">
        <w:rPr>
          <w:rFonts w:ascii="Times New Roman" w:eastAsia="Times New Roman" w:hAnsi="Times New Roman" w:cs="Times New Roman"/>
        </w:rPr>
        <w:t xml:space="preserve"> involved an orally communicated threat. The instruction is drafted more broadly to be applicable whether the threat is communicated orally, in writing, or by conduct.</w:t>
      </w:r>
    </w:p>
    <w:p w14:paraId="289DB8D4" w14:textId="77777777" w:rsidR="00B23DCA" w:rsidRPr="001E150E" w:rsidRDefault="00B23DCA" w:rsidP="00B23DCA">
      <w:pPr>
        <w:widowControl w:val="0"/>
        <w:autoSpaceDE w:val="0"/>
        <w:autoSpaceDN w:val="0"/>
        <w:adjustRightInd w:val="0"/>
        <w:spacing w:after="0" w:line="240" w:lineRule="auto"/>
        <w:jc w:val="both"/>
        <w:rPr>
          <w:rFonts w:ascii="Times New Roman" w:eastAsia="Times New Roman" w:hAnsi="Times New Roman" w:cs="Times New Roman"/>
        </w:rPr>
      </w:pPr>
    </w:p>
    <w:p w14:paraId="45C85FB4" w14:textId="77777777" w:rsidR="00B23DCA" w:rsidRPr="001E150E" w:rsidRDefault="00B23DCA" w:rsidP="00B23DCA">
      <w:pPr>
        <w:widowControl w:val="0"/>
        <w:autoSpaceDE w:val="0"/>
        <w:autoSpaceDN w:val="0"/>
        <w:adjustRightInd w:val="0"/>
        <w:spacing w:after="0" w:line="240" w:lineRule="auto"/>
        <w:ind w:firstLine="450"/>
        <w:jc w:val="both"/>
        <w:rPr>
          <w:rFonts w:ascii="Times New Roman" w:eastAsia="Times New Roman" w:hAnsi="Times New Roman" w:cs="Times New Roman"/>
          <w:strike/>
        </w:rPr>
      </w:pPr>
      <w:r w:rsidRPr="001E150E">
        <w:rPr>
          <w:rFonts w:ascii="Times New Roman" w:eastAsia="Times New Roman" w:hAnsi="Times New Roman" w:cs="Times New Roman"/>
        </w:rPr>
        <w:t xml:space="preserve">In </w:t>
      </w:r>
      <w:r w:rsidRPr="001E150E">
        <w:rPr>
          <w:rFonts w:ascii="Times New Roman" w:eastAsia="Times New Roman" w:hAnsi="Times New Roman" w:cs="Times New Roman"/>
          <w:u w:val="single"/>
        </w:rPr>
        <w:t>Elonis v. United States</w:t>
      </w:r>
      <w:r w:rsidRPr="001E150E">
        <w:rPr>
          <w:rFonts w:ascii="Times New Roman" w:eastAsia="Times New Roman" w:hAnsi="Times New Roman" w:cs="Times New Roman"/>
        </w:rPr>
        <w:t xml:space="preserve">, 575 U.S. 723, 135 S.Ct. 2001 (2015), the United States Supreme Court interpreted a federal statute making it a crime to transmit in interstate commerce “any communication containing any threat … to injure the person of another.” 18 USC § 875(c). Because the statute was not clear as to what mental state was required, there was a split in the federal circuits on that issue. Elonis was convicted under instructions that required the jury to find that he communicated what a reasonable person would regard as a threat. The Supreme Court concluded that this was not sufficient: “Federal criminal liability generally does not turn solely on the results of an act without considering the defendant’s mental state.” The decision did not specify what mental state is required. </w:t>
      </w:r>
      <w:bookmarkStart w:id="0" w:name="_Hlk221297099"/>
      <w:r w:rsidRPr="001E150E">
        <w:rPr>
          <w:rFonts w:ascii="Times New Roman" w:eastAsia="Times New Roman" w:hAnsi="Times New Roman" w:cs="Times New Roman"/>
        </w:rPr>
        <w:t xml:space="preserve">Although </w:t>
      </w:r>
      <w:r w:rsidRPr="001E150E">
        <w:rPr>
          <w:rFonts w:ascii="Times New Roman" w:eastAsia="Times New Roman" w:hAnsi="Times New Roman" w:cs="Times New Roman"/>
          <w:u w:val="single"/>
        </w:rPr>
        <w:t>Elonis</w:t>
      </w:r>
      <w:r w:rsidRPr="001E150E">
        <w:rPr>
          <w:rFonts w:ascii="Times New Roman" w:eastAsia="Times New Roman" w:hAnsi="Times New Roman" w:cs="Times New Roman"/>
        </w:rPr>
        <w:t xml:space="preserve"> was decided as a matter of federal statutory interpretation, it underscores that criminal “threat” liability should not rest solely on an objective reasonable-person standard. This instruction’s definition of “true threat” includes both an objective reasonable-listener component and the mens rea floor required by the First Amendment under </w:t>
      </w:r>
      <w:r w:rsidRPr="001E150E">
        <w:rPr>
          <w:rFonts w:ascii="Times New Roman" w:eastAsia="Times New Roman" w:hAnsi="Times New Roman" w:cs="Times New Roman"/>
          <w:u w:val="single"/>
        </w:rPr>
        <w:t>Counterman</w:t>
      </w:r>
      <w:r w:rsidRPr="001E150E">
        <w:rPr>
          <w:rFonts w:ascii="Times New Roman" w:eastAsia="Times New Roman" w:hAnsi="Times New Roman" w:cs="Times New Roman"/>
        </w:rPr>
        <w:t xml:space="preserve"> and </w:t>
      </w:r>
      <w:r w:rsidRPr="001E150E">
        <w:rPr>
          <w:rFonts w:ascii="Times New Roman" w:eastAsia="Times New Roman" w:hAnsi="Times New Roman" w:cs="Times New Roman"/>
          <w:u w:val="single"/>
        </w:rPr>
        <w:t>Kindschy</w:t>
      </w:r>
      <w:r w:rsidRPr="001E150E">
        <w:rPr>
          <w:rFonts w:ascii="Times New Roman" w:eastAsia="Times New Roman" w:hAnsi="Times New Roman" w:cs="Times New Roman"/>
        </w:rPr>
        <w:t>—that the defendant consciously disregarded a substantial risk that others would view the statement as threatening violence.</w:t>
      </w:r>
    </w:p>
    <w:bookmarkEnd w:id="0"/>
    <w:p w14:paraId="330C4931" w14:textId="77777777" w:rsidR="00B23DCA" w:rsidRPr="001E150E" w:rsidRDefault="00B23DCA" w:rsidP="00B23DCA">
      <w:pPr>
        <w:pStyle w:val="EndnoteText"/>
        <w:rPr>
          <w:rFonts w:ascii="Times New Roman" w:hAnsi="Times New Roman" w:cs="Times New Roman"/>
          <w:sz w:val="22"/>
          <w:szCs w:val="22"/>
        </w:rPr>
      </w:pPr>
    </w:p>
  </w:endnote>
  <w:endnote w:id="4">
    <w:p w14:paraId="7960BD9B" w14:textId="77777777" w:rsidR="00B23DCA" w:rsidRPr="001E150E" w:rsidRDefault="00B23DCA" w:rsidP="00B23DCA">
      <w:pPr>
        <w:pStyle w:val="EndnoteText"/>
        <w:tabs>
          <w:tab w:val="left" w:pos="900"/>
        </w:tabs>
        <w:ind w:firstLine="450"/>
        <w:jc w:val="both"/>
        <w:rPr>
          <w:rFonts w:ascii="Times New Roman" w:hAnsi="Times New Roman" w:cs="Times New Roman"/>
          <w:sz w:val="22"/>
          <w:szCs w:val="22"/>
        </w:rPr>
      </w:pPr>
      <w:r w:rsidRPr="001E150E">
        <w:rPr>
          <w:rFonts w:ascii="Times New Roman" w:hAnsi="Times New Roman" w:cs="Times New Roman"/>
          <w:sz w:val="22"/>
          <w:szCs w:val="22"/>
        </w:rPr>
        <w:endnoteRef/>
      </w:r>
      <w:r w:rsidRPr="001E150E">
        <w:rPr>
          <w:rFonts w:ascii="Times New Roman" w:hAnsi="Times New Roman" w:cs="Times New Roman"/>
          <w:sz w:val="22"/>
          <w:szCs w:val="22"/>
        </w:rPr>
        <w:t xml:space="preserve">. </w:t>
      </w:r>
      <w:r w:rsidRPr="001E150E">
        <w:rPr>
          <w:rFonts w:ascii="Times New Roman" w:hAnsi="Times New Roman" w:cs="Times New Roman"/>
          <w:sz w:val="22"/>
          <w:szCs w:val="22"/>
        </w:rPr>
        <w:tab/>
        <w:t>This is the definition of “bodily harm” provided in § 939.22(4).</w:t>
      </w:r>
    </w:p>
    <w:p w14:paraId="0F56D73A" w14:textId="77777777" w:rsidR="00B23DCA" w:rsidRPr="001E150E" w:rsidRDefault="00B23DCA" w:rsidP="00B23DCA">
      <w:pPr>
        <w:pStyle w:val="EndnoteText"/>
        <w:tabs>
          <w:tab w:val="left" w:pos="900"/>
        </w:tabs>
        <w:ind w:firstLine="450"/>
        <w:jc w:val="both"/>
        <w:rPr>
          <w:rFonts w:ascii="Times New Roman" w:hAnsi="Times New Roman" w:cs="Times New Roman"/>
          <w:sz w:val="22"/>
          <w:szCs w:val="22"/>
        </w:rPr>
      </w:pPr>
    </w:p>
  </w:endnote>
  <w:endnote w:id="5">
    <w:p w14:paraId="243824D2" w14:textId="3BCC9352" w:rsidR="00B23DCA" w:rsidRPr="001E150E" w:rsidRDefault="00B23DCA" w:rsidP="00B23DCA">
      <w:pPr>
        <w:pStyle w:val="NoSpacing"/>
        <w:tabs>
          <w:tab w:val="left" w:pos="900"/>
        </w:tabs>
        <w:ind w:firstLine="450"/>
        <w:jc w:val="both"/>
        <w:rPr>
          <w:rFonts w:ascii="Times New Roman" w:hAnsi="Times New Roman" w:cs="Times New Roman"/>
        </w:rPr>
      </w:pPr>
      <w:r w:rsidRPr="001E150E">
        <w:rPr>
          <w:rFonts w:ascii="Times New Roman" w:hAnsi="Times New Roman" w:cs="Times New Roman"/>
        </w:rPr>
        <w:endnoteRef/>
      </w:r>
      <w:r w:rsidRPr="001E150E">
        <w:rPr>
          <w:rFonts w:ascii="Times New Roman" w:hAnsi="Times New Roman" w:cs="Times New Roman"/>
        </w:rPr>
        <w:t>.</w:t>
      </w:r>
      <w:r w:rsidRPr="001E150E">
        <w:rPr>
          <w:rFonts w:ascii="Times New Roman" w:hAnsi="Times New Roman" w:cs="Times New Roman"/>
        </w:rPr>
        <w:tab/>
        <w:t>“Employed” is used here in the general sense of being engaged in the performance of a duty.</w:t>
      </w:r>
    </w:p>
    <w:p w14:paraId="323C91E6" w14:textId="77777777" w:rsidR="00940C76" w:rsidRPr="001E150E" w:rsidRDefault="00940C76" w:rsidP="00B23DCA">
      <w:pPr>
        <w:pStyle w:val="NoSpacing"/>
        <w:tabs>
          <w:tab w:val="left" w:pos="900"/>
        </w:tabs>
        <w:ind w:firstLine="450"/>
        <w:jc w:val="both"/>
        <w:rPr>
          <w:rFonts w:ascii="Times New Roman" w:hAnsi="Times New Roman" w:cs="Times New Roman"/>
        </w:rPr>
      </w:pPr>
    </w:p>
  </w:endnote>
  <w:endnote w:id="6">
    <w:p w14:paraId="539053E6" w14:textId="73399B4B" w:rsidR="00B23DCA" w:rsidRPr="001E150E" w:rsidRDefault="00B23DCA" w:rsidP="00940C76">
      <w:pPr>
        <w:pStyle w:val="NoSpacing"/>
        <w:tabs>
          <w:tab w:val="left" w:pos="900"/>
        </w:tabs>
        <w:ind w:firstLine="450"/>
        <w:jc w:val="both"/>
        <w:rPr>
          <w:rFonts w:ascii="Times New Roman" w:hAnsi="Times New Roman" w:cs="Times New Roman"/>
        </w:rPr>
      </w:pPr>
      <w:r w:rsidRPr="001E150E">
        <w:rPr>
          <w:rFonts w:ascii="Times New Roman" w:hAnsi="Times New Roman" w:cs="Times New Roman"/>
        </w:rPr>
        <w:endnoteRef/>
      </w:r>
      <w:r w:rsidRPr="001E150E">
        <w:rPr>
          <w:rFonts w:ascii="Times New Roman" w:hAnsi="Times New Roman" w:cs="Times New Roman"/>
        </w:rPr>
        <w:t>.</w:t>
      </w:r>
      <w:r w:rsidR="00940C76" w:rsidRPr="001E150E">
        <w:rPr>
          <w:rFonts w:ascii="Times New Roman" w:hAnsi="Times New Roman" w:cs="Times New Roman"/>
        </w:rPr>
        <w:tab/>
      </w:r>
      <w:r w:rsidRPr="001E150E">
        <w:rPr>
          <w:rFonts w:ascii="Times New Roman" w:hAnsi="Times New Roman" w:cs="Times New Roman"/>
        </w:rPr>
        <w:t>The definition of “official capacity” is taken from Wis JI</w:t>
      </w:r>
      <w:r w:rsidR="00940C76" w:rsidRPr="001E150E">
        <w:rPr>
          <w:rFonts w:ascii="Times New Roman" w:hAnsi="Times New Roman" w:cs="Times New Roman"/>
        </w:rPr>
        <w:t>–</w:t>
      </w:r>
      <w:r w:rsidRPr="001E150E">
        <w:rPr>
          <w:rFonts w:ascii="Times New Roman" w:hAnsi="Times New Roman" w:cs="Times New Roman"/>
        </w:rPr>
        <w:t>Criminal 915. See the Comment to that instruction for further discussion.</w:t>
      </w:r>
    </w:p>
    <w:p w14:paraId="5D8BB44A" w14:textId="77777777" w:rsidR="00B23DCA" w:rsidRPr="001E150E" w:rsidRDefault="00B23DCA">
      <w:pPr>
        <w:pStyle w:val="EndnoteText"/>
      </w:pPr>
    </w:p>
  </w:endnote>
  <w:endnote w:id="7">
    <w:p w14:paraId="2398F799" w14:textId="77777777" w:rsidR="003602F2" w:rsidRPr="001E150E" w:rsidRDefault="003602F2" w:rsidP="003602F2">
      <w:pPr>
        <w:pStyle w:val="EndnoteText"/>
        <w:tabs>
          <w:tab w:val="left" w:pos="900"/>
        </w:tabs>
        <w:ind w:firstLine="450"/>
        <w:jc w:val="both"/>
        <w:rPr>
          <w:rFonts w:ascii="Times New Roman" w:hAnsi="Times New Roman" w:cs="Times New Roman"/>
          <w:sz w:val="22"/>
          <w:szCs w:val="22"/>
        </w:rPr>
      </w:pPr>
      <w:r w:rsidRPr="001E150E">
        <w:rPr>
          <w:rFonts w:ascii="Times New Roman" w:hAnsi="Times New Roman" w:cs="Times New Roman"/>
          <w:sz w:val="22"/>
          <w:szCs w:val="22"/>
        </w:rPr>
        <w:endnoteRef/>
      </w:r>
      <w:r w:rsidRPr="001E150E">
        <w:rPr>
          <w:rFonts w:ascii="Times New Roman" w:hAnsi="Times New Roman" w:cs="Times New Roman"/>
          <w:sz w:val="22"/>
          <w:szCs w:val="22"/>
        </w:rPr>
        <w:t xml:space="preserve">. </w:t>
      </w:r>
      <w:r w:rsidRPr="001E150E">
        <w:rPr>
          <w:rFonts w:ascii="Times New Roman" w:hAnsi="Times New Roman" w:cs="Times New Roman"/>
          <w:sz w:val="22"/>
          <w:szCs w:val="22"/>
        </w:rPr>
        <w:tab/>
        <w:t>Recklessness requires a subjective mental state: the defendant must actually (in his or her own mind) be aware of the risk created by the conduct. The statutory definition of “recklessness” clarifies that subjective awareness of the risk is required. See Wis. Stat. § 939.24.</w:t>
      </w:r>
    </w:p>
    <w:p w14:paraId="3E5F7AC7" w14:textId="77777777" w:rsidR="003602F2" w:rsidRPr="001E150E" w:rsidRDefault="003602F2" w:rsidP="003602F2">
      <w:pPr>
        <w:pStyle w:val="EndnoteText"/>
        <w:jc w:val="both"/>
        <w:rPr>
          <w:rFonts w:ascii="Times New Roman" w:hAnsi="Times New Roman" w:cs="Times New Roman"/>
          <w:sz w:val="22"/>
          <w:szCs w:val="22"/>
        </w:rPr>
      </w:pPr>
    </w:p>
  </w:endnote>
  <w:endnote w:id="8">
    <w:p w14:paraId="74211E67" w14:textId="756ED799" w:rsidR="003602F2" w:rsidRPr="001E150E" w:rsidRDefault="003602F2" w:rsidP="003602F2">
      <w:pPr>
        <w:pStyle w:val="EndnoteText"/>
        <w:tabs>
          <w:tab w:val="left" w:pos="900"/>
        </w:tabs>
        <w:ind w:firstLine="450"/>
        <w:rPr>
          <w:rFonts w:ascii="Times New Roman" w:hAnsi="Times New Roman" w:cs="Times New Roman"/>
          <w:sz w:val="22"/>
          <w:szCs w:val="22"/>
        </w:rPr>
      </w:pPr>
      <w:r w:rsidRPr="001E150E">
        <w:rPr>
          <w:rFonts w:ascii="Times New Roman" w:hAnsi="Times New Roman" w:cs="Times New Roman"/>
          <w:sz w:val="22"/>
          <w:szCs w:val="22"/>
        </w:rPr>
        <w:endnoteRef/>
      </w:r>
      <w:r w:rsidRPr="001E150E">
        <w:rPr>
          <w:rFonts w:ascii="Times New Roman" w:hAnsi="Times New Roman" w:cs="Times New Roman"/>
          <w:sz w:val="22"/>
          <w:szCs w:val="22"/>
        </w:rPr>
        <w:t xml:space="preserve">. </w:t>
      </w:r>
      <w:r w:rsidRPr="001E150E">
        <w:rPr>
          <w:rFonts w:ascii="Times New Roman" w:hAnsi="Times New Roman" w:cs="Times New Roman"/>
          <w:sz w:val="22"/>
          <w:szCs w:val="22"/>
        </w:rPr>
        <w:tab/>
        <w:t xml:space="preserve">See </w:t>
      </w:r>
      <w:r w:rsidRPr="001E150E">
        <w:rPr>
          <w:rFonts w:ascii="Times New Roman" w:hAnsi="Times New Roman" w:cs="Times New Roman"/>
          <w:sz w:val="22"/>
          <w:szCs w:val="22"/>
          <w:u w:val="single"/>
        </w:rPr>
        <w:t>Counterman v. Colorado</w:t>
      </w:r>
      <w:r w:rsidRPr="001E150E">
        <w:rPr>
          <w:rFonts w:ascii="Times New Roman" w:hAnsi="Times New Roman" w:cs="Times New Roman"/>
          <w:sz w:val="22"/>
          <w:szCs w:val="22"/>
        </w:rPr>
        <w:t xml:space="preserve">, 600 U.S. 66, </w:t>
      </w:r>
      <w:r w:rsidRPr="001E150E">
        <w:rPr>
          <w:rFonts w:ascii="Times New Roman" w:hAnsi="Times New Roman" w:cs="Times New Roman"/>
          <w:sz w:val="22"/>
          <w:szCs w:val="22"/>
          <w:u w:val="single"/>
        </w:rPr>
        <w:t>supra</w:t>
      </w:r>
      <w:r w:rsidRPr="001E150E">
        <w:rPr>
          <w:rFonts w:ascii="Times New Roman" w:hAnsi="Times New Roman" w:cs="Times New Roman"/>
          <w:sz w:val="22"/>
          <w:szCs w:val="22"/>
        </w:rPr>
        <w:t xml:space="preserve">, at 79. </w:t>
      </w:r>
    </w:p>
    <w:p w14:paraId="63DD859D" w14:textId="77777777" w:rsidR="003602F2" w:rsidRPr="001E150E" w:rsidRDefault="003602F2" w:rsidP="003602F2">
      <w:pPr>
        <w:pStyle w:val="EndnoteText"/>
        <w:tabs>
          <w:tab w:val="left" w:pos="900"/>
        </w:tabs>
        <w:ind w:firstLine="450"/>
        <w:rPr>
          <w:rFonts w:ascii="Times New Roman" w:hAnsi="Times New Roman" w:cs="Times New Roman"/>
          <w:sz w:val="22"/>
          <w:szCs w:val="22"/>
        </w:rPr>
      </w:pPr>
    </w:p>
  </w:endnote>
  <w:endnote w:id="9">
    <w:p w14:paraId="507683C6" w14:textId="1273537C" w:rsidR="00940C76" w:rsidRPr="00940C76" w:rsidRDefault="00940C76" w:rsidP="00940C76">
      <w:pPr>
        <w:tabs>
          <w:tab w:val="left" w:pos="900"/>
        </w:tabs>
        <w:ind w:firstLine="450"/>
        <w:jc w:val="both"/>
        <w:rPr>
          <w:rFonts w:ascii="Times New Roman" w:hAnsi="Times New Roman" w:cs="Times New Roman"/>
        </w:rPr>
      </w:pPr>
      <w:r w:rsidRPr="001E150E">
        <w:rPr>
          <w:rFonts w:ascii="Times New Roman" w:hAnsi="Times New Roman" w:cs="Times New Roman"/>
        </w:rPr>
        <w:endnoteRef/>
      </w:r>
      <w:r w:rsidRPr="001E150E">
        <w:rPr>
          <w:rFonts w:ascii="Times New Roman" w:hAnsi="Times New Roman" w:cs="Times New Roman"/>
        </w:rPr>
        <w:t>.</w:t>
      </w:r>
      <w:r w:rsidRPr="001E150E">
        <w:rPr>
          <w:rFonts w:ascii="Times New Roman" w:hAnsi="Times New Roman" w:cs="Times New Roman"/>
        </w:rPr>
        <w:tab/>
        <w:t>If the definition of “without consent” is believed to be necessary, see Wis JI–Criminal 948, which provides an instruction based on the definition provided in § 939.22(48). That definition provides that “without consent” means “no consent in fact” or that consent was given because of fear, a claim of legal authority by the defendant, or misunderstanding.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F3258" w14:textId="77777777" w:rsidR="00B23DCA" w:rsidRDefault="00B23DCA" w:rsidP="00B23DCA">
    <w:pPr>
      <w:pStyle w:val="Footer"/>
      <w:jc w:val="both"/>
      <w:rPr>
        <w:rFonts w:ascii="Arial" w:hAnsi="Arial" w:cs="Arial"/>
        <w:sz w:val="20"/>
        <w:szCs w:val="20"/>
      </w:rPr>
    </w:pPr>
  </w:p>
  <w:p w14:paraId="4DC4702E" w14:textId="143A52B5" w:rsidR="00B23DCA" w:rsidRPr="00B23DCA" w:rsidRDefault="00B23DCA" w:rsidP="00B23DCA">
    <w:pPr>
      <w:pStyle w:val="Footer"/>
      <w:jc w:val="both"/>
      <w:rPr>
        <w:rFonts w:ascii="Arial" w:hAnsi="Arial" w:cs="Arial"/>
        <w:sz w:val="20"/>
        <w:szCs w:val="20"/>
      </w:rPr>
    </w:pPr>
    <w:r w:rsidRPr="00B23DCA">
      <w:rPr>
        <w:rFonts w:ascii="Arial" w:hAnsi="Arial" w:cs="Arial"/>
        <w:sz w:val="20"/>
        <w:szCs w:val="20"/>
      </w:rPr>
      <w:t xml:space="preserve">Wisconsin Court System, </w:t>
    </w:r>
    <w:r w:rsidR="001E150E">
      <w:rPr>
        <w:rFonts w:ascii="Arial" w:hAnsi="Arial" w:cs="Arial"/>
        <w:sz w:val="20"/>
        <w:szCs w:val="20"/>
      </w:rPr>
      <w:t>7</w:t>
    </w:r>
    <w:r w:rsidRPr="00B23DCA">
      <w:rPr>
        <w:rFonts w:ascii="Arial" w:hAnsi="Arial" w:cs="Arial"/>
        <w:sz w:val="20"/>
        <w:szCs w:val="20"/>
      </w:rPr>
      <w:t>/2026</w:t>
    </w:r>
    <w:r w:rsidRPr="00B23DCA">
      <w:rPr>
        <w:rFonts w:ascii="Arial" w:hAnsi="Arial" w:cs="Arial"/>
        <w:sz w:val="20"/>
        <w:szCs w:val="20"/>
      </w:rPr>
      <w:tab/>
    </w:r>
    <w:r w:rsidRPr="00B23DCA">
      <w:rPr>
        <w:rFonts w:ascii="Arial" w:hAnsi="Arial" w:cs="Arial"/>
        <w:sz w:val="20"/>
        <w:szCs w:val="20"/>
      </w:rPr>
      <w:tab/>
      <w:t>(</w:t>
    </w:r>
    <w:r w:rsidR="001E150E">
      <w:rPr>
        <w:rFonts w:ascii="Arial" w:hAnsi="Arial" w:cs="Arial"/>
        <w:sz w:val="20"/>
        <w:szCs w:val="20"/>
      </w:rPr>
      <w:t>Release No. 71</w:t>
    </w:r>
    <w:r w:rsidRPr="00B23DCA">
      <w:rPr>
        <w:rFonts w:ascii="Arial" w:hAnsi="Arial" w:cs="Arial"/>
        <w:sz w:val="20"/>
        <w:szCs w:val="20"/>
      </w:rPr>
      <w:t>)</w:t>
    </w:r>
  </w:p>
  <w:sdt>
    <w:sdtPr>
      <w:rPr>
        <w:rFonts w:ascii="Arial" w:hAnsi="Arial" w:cs="Arial"/>
        <w:sz w:val="20"/>
        <w:szCs w:val="20"/>
      </w:rPr>
      <w:id w:val="-600870278"/>
      <w:docPartObj>
        <w:docPartGallery w:val="Page Numbers (Bottom of Page)"/>
        <w:docPartUnique/>
      </w:docPartObj>
    </w:sdtPr>
    <w:sdtEndPr>
      <w:rPr>
        <w:noProof/>
      </w:rPr>
    </w:sdtEndPr>
    <w:sdtContent>
      <w:p w14:paraId="4FE9B789" w14:textId="0C525646" w:rsidR="00B23DCA" w:rsidRPr="00B23DCA" w:rsidRDefault="00B23DCA">
        <w:pPr>
          <w:pStyle w:val="Footer"/>
          <w:jc w:val="center"/>
          <w:rPr>
            <w:rFonts w:ascii="Arial" w:hAnsi="Arial" w:cs="Arial"/>
            <w:sz w:val="20"/>
            <w:szCs w:val="20"/>
          </w:rPr>
        </w:pPr>
        <w:r w:rsidRPr="00B23DCA">
          <w:rPr>
            <w:rFonts w:ascii="Arial" w:hAnsi="Arial" w:cs="Arial"/>
            <w:sz w:val="20"/>
            <w:szCs w:val="20"/>
          </w:rPr>
          <w:fldChar w:fldCharType="begin"/>
        </w:r>
        <w:r w:rsidRPr="00B23DCA">
          <w:rPr>
            <w:rFonts w:ascii="Arial" w:hAnsi="Arial" w:cs="Arial"/>
            <w:sz w:val="20"/>
            <w:szCs w:val="20"/>
          </w:rPr>
          <w:instrText xml:space="preserve"> PAGE   \* MERGEFORMAT </w:instrText>
        </w:r>
        <w:r w:rsidRPr="00B23DCA">
          <w:rPr>
            <w:rFonts w:ascii="Arial" w:hAnsi="Arial" w:cs="Arial"/>
            <w:sz w:val="20"/>
            <w:szCs w:val="20"/>
          </w:rPr>
          <w:fldChar w:fldCharType="separate"/>
        </w:r>
        <w:r w:rsidRPr="00B23DCA">
          <w:rPr>
            <w:rFonts w:ascii="Arial" w:hAnsi="Arial" w:cs="Arial"/>
            <w:noProof/>
            <w:sz w:val="20"/>
            <w:szCs w:val="20"/>
          </w:rPr>
          <w:t>2</w:t>
        </w:r>
        <w:r w:rsidRPr="00B23DCA">
          <w:rPr>
            <w:rFonts w:ascii="Arial" w:hAnsi="Arial" w:cs="Arial"/>
            <w:noProof/>
            <w:sz w:val="20"/>
            <w:szCs w:val="20"/>
          </w:rPr>
          <w:fldChar w:fldCharType="end"/>
        </w:r>
      </w:p>
    </w:sdtContent>
  </w:sdt>
  <w:p w14:paraId="142FD11D" w14:textId="77777777" w:rsidR="00B23DCA" w:rsidRDefault="00B23D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45739" w14:textId="77777777" w:rsidR="00B23DCA" w:rsidRDefault="00B23DCA" w:rsidP="00B23DCA">
      <w:pPr>
        <w:spacing w:after="0" w:line="240" w:lineRule="auto"/>
      </w:pPr>
      <w:r>
        <w:separator/>
      </w:r>
    </w:p>
  </w:footnote>
  <w:footnote w:type="continuationSeparator" w:id="0">
    <w:p w14:paraId="4A1E6303" w14:textId="77777777" w:rsidR="00B23DCA" w:rsidRDefault="00B23DCA" w:rsidP="00B23D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F33B" w14:textId="77777777" w:rsidR="00B23DCA" w:rsidRDefault="00B23DCA" w:rsidP="00B23DC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7E7595CC" w14:textId="01C17E25" w:rsidR="00B23DCA" w:rsidRDefault="00B23DCA" w:rsidP="00B23DC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9821A5">
      <w:rPr>
        <w:rFonts w:ascii="Arial" w:eastAsia="Times New Roman" w:hAnsi="Arial" w:cs="Arial"/>
        <w:b/>
        <w:bCs/>
        <w:sz w:val="28"/>
        <w:szCs w:val="28"/>
      </w:rPr>
      <w:t>1242</w:t>
    </w:r>
    <w:r>
      <w:rPr>
        <w:rFonts w:ascii="Arial" w:eastAsia="Times New Roman" w:hAnsi="Arial" w:cs="Arial"/>
        <w:b/>
        <w:bCs/>
        <w:sz w:val="28"/>
        <w:szCs w:val="28"/>
      </w:rPr>
      <w:t>A</w:t>
    </w:r>
    <w:r w:rsidRPr="009821A5">
      <w:rPr>
        <w:rFonts w:ascii="Arial" w:eastAsia="Times New Roman" w:hAnsi="Arial" w:cs="Arial"/>
        <w:b/>
        <w:bCs/>
        <w:sz w:val="28"/>
        <w:szCs w:val="28"/>
      </w:rPr>
      <w:tab/>
      <w:t>WIS JI</w:t>
    </w:r>
    <w:r w:rsidRPr="009821A5">
      <w:rPr>
        <w:rFonts w:ascii="Arial" w:eastAsia="Times New Roman" w:hAnsi="Arial" w:cs="Arial"/>
        <w:b/>
        <w:bCs/>
        <w:sz w:val="28"/>
        <w:szCs w:val="28"/>
      </w:rPr>
      <w:noBreakHyphen/>
      <w:t>CRIMINAL</w:t>
    </w:r>
    <w:r w:rsidRPr="009821A5">
      <w:rPr>
        <w:rFonts w:ascii="Arial" w:eastAsia="Times New Roman" w:hAnsi="Arial" w:cs="Arial"/>
        <w:b/>
        <w:bCs/>
        <w:sz w:val="28"/>
        <w:szCs w:val="28"/>
      </w:rPr>
      <w:tab/>
      <w:t>1242</w:t>
    </w:r>
    <w:r>
      <w:rPr>
        <w:rFonts w:ascii="Arial" w:eastAsia="Times New Roman" w:hAnsi="Arial" w:cs="Arial"/>
        <w:b/>
        <w:bCs/>
        <w:sz w:val="28"/>
        <w:szCs w:val="28"/>
      </w:rPr>
      <w:t>A</w:t>
    </w:r>
  </w:p>
  <w:p w14:paraId="6AD0082E" w14:textId="56D0F6BA" w:rsidR="00B23DCA" w:rsidRDefault="00B23DCA" w:rsidP="00B23DC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29963023" w14:textId="77777777" w:rsidR="00B23DCA" w:rsidRPr="00B23DCA" w:rsidRDefault="00B23DCA" w:rsidP="00B23DC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F2B21"/>
    <w:multiLevelType w:val="hybridMultilevel"/>
    <w:tmpl w:val="DF28970E"/>
    <w:lvl w:ilvl="0" w:tplc="36388E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CF1DEB"/>
    <w:multiLevelType w:val="hybridMultilevel"/>
    <w:tmpl w:val="041ABCC2"/>
    <w:lvl w:ilvl="0" w:tplc="5F6C4EB2">
      <w:start w:val="3"/>
      <w:numFmt w:val="decimal"/>
      <w:lvlText w:val="%1."/>
      <w:lvlJc w:val="left"/>
      <w:pPr>
        <w:ind w:left="90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FA40D0"/>
    <w:multiLevelType w:val="hybridMultilevel"/>
    <w:tmpl w:val="92067698"/>
    <w:lvl w:ilvl="0" w:tplc="0874CC3C">
      <w:start w:val="1"/>
      <w:numFmt w:val="decimal"/>
      <w:lvlText w:val="%1."/>
      <w:lvlJc w:val="left"/>
      <w:pPr>
        <w:ind w:left="900" w:hanging="450"/>
      </w:pPr>
      <w:rPr>
        <w:rFonts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446514F9"/>
    <w:multiLevelType w:val="hybridMultilevel"/>
    <w:tmpl w:val="F156F596"/>
    <w:lvl w:ilvl="0" w:tplc="ABF431E2">
      <w:start w:val="1"/>
      <w:numFmt w:val="decimal"/>
      <w:lvlText w:val="%1."/>
      <w:lvlJc w:val="left"/>
      <w:pPr>
        <w:ind w:left="900" w:hanging="45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DCA"/>
    <w:rsid w:val="00081957"/>
    <w:rsid w:val="0009743F"/>
    <w:rsid w:val="000A2647"/>
    <w:rsid w:val="000A7D38"/>
    <w:rsid w:val="00115007"/>
    <w:rsid w:val="0017391B"/>
    <w:rsid w:val="001E150E"/>
    <w:rsid w:val="003602F2"/>
    <w:rsid w:val="004207F8"/>
    <w:rsid w:val="00453FCE"/>
    <w:rsid w:val="004D7571"/>
    <w:rsid w:val="006062C3"/>
    <w:rsid w:val="00610D46"/>
    <w:rsid w:val="00885788"/>
    <w:rsid w:val="00940C76"/>
    <w:rsid w:val="00B001A3"/>
    <w:rsid w:val="00B23DCA"/>
    <w:rsid w:val="00C052B1"/>
    <w:rsid w:val="00D62C9B"/>
    <w:rsid w:val="00DF3740"/>
    <w:rsid w:val="00E148CC"/>
    <w:rsid w:val="00F85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D1D85"/>
  <w15:chartTrackingRefBased/>
  <w15:docId w15:val="{8B32F805-EAC4-4983-888D-66D933CBE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D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D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DCA"/>
  </w:style>
  <w:style w:type="paragraph" w:styleId="Footer">
    <w:name w:val="footer"/>
    <w:basedOn w:val="Normal"/>
    <w:link w:val="FooterChar"/>
    <w:uiPriority w:val="99"/>
    <w:unhideWhenUsed/>
    <w:rsid w:val="00B23D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DCA"/>
  </w:style>
  <w:style w:type="paragraph" w:styleId="NoSpacing">
    <w:name w:val="No Spacing"/>
    <w:uiPriority w:val="1"/>
    <w:qFormat/>
    <w:rsid w:val="00B23DCA"/>
    <w:pPr>
      <w:spacing w:after="0" w:line="240" w:lineRule="auto"/>
    </w:pPr>
  </w:style>
  <w:style w:type="paragraph" w:styleId="ListParagraph">
    <w:name w:val="List Paragraph"/>
    <w:basedOn w:val="Normal"/>
    <w:uiPriority w:val="34"/>
    <w:qFormat/>
    <w:rsid w:val="00B23DCA"/>
    <w:pPr>
      <w:ind w:left="720"/>
      <w:contextualSpacing/>
    </w:pPr>
  </w:style>
  <w:style w:type="character" w:styleId="LineNumber">
    <w:name w:val="line number"/>
    <w:basedOn w:val="DefaultParagraphFont"/>
    <w:uiPriority w:val="99"/>
    <w:semiHidden/>
    <w:unhideWhenUsed/>
    <w:rsid w:val="00B23DCA"/>
  </w:style>
  <w:style w:type="paragraph" w:styleId="EndnoteText">
    <w:name w:val="endnote text"/>
    <w:basedOn w:val="Normal"/>
    <w:link w:val="EndnoteTextChar"/>
    <w:uiPriority w:val="99"/>
    <w:unhideWhenUsed/>
    <w:rsid w:val="00B23DCA"/>
    <w:pPr>
      <w:spacing w:after="0" w:line="240" w:lineRule="auto"/>
    </w:pPr>
    <w:rPr>
      <w:sz w:val="20"/>
      <w:szCs w:val="20"/>
    </w:rPr>
  </w:style>
  <w:style w:type="character" w:customStyle="1" w:styleId="EndnoteTextChar">
    <w:name w:val="Endnote Text Char"/>
    <w:basedOn w:val="DefaultParagraphFont"/>
    <w:link w:val="EndnoteText"/>
    <w:uiPriority w:val="99"/>
    <w:rsid w:val="00B23DCA"/>
    <w:rPr>
      <w:sz w:val="20"/>
      <w:szCs w:val="20"/>
    </w:rPr>
  </w:style>
  <w:style w:type="character" w:styleId="EndnoteReference">
    <w:name w:val="endnote reference"/>
    <w:basedOn w:val="DefaultParagraphFont"/>
    <w:uiPriority w:val="99"/>
    <w:semiHidden/>
    <w:unhideWhenUsed/>
    <w:rsid w:val="00B23DCA"/>
    <w:rPr>
      <w:vertAlign w:val="superscript"/>
    </w:rPr>
  </w:style>
  <w:style w:type="paragraph" w:customStyle="1" w:styleId="font-claude-response-body">
    <w:name w:val="font-claude-response-body"/>
    <w:basedOn w:val="Normal"/>
    <w:rsid w:val="004207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A6820-5C0E-44C1-8CD1-B1EA22743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955</Words>
  <Characters>5447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14</cp:revision>
  <dcterms:created xsi:type="dcterms:W3CDTF">2026-07-10T05:02:00Z</dcterms:created>
  <dcterms:modified xsi:type="dcterms:W3CDTF">2026-07-10T20:07:00Z</dcterms:modified>
</cp:coreProperties>
</file>