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E717" w14:textId="6F459F44" w:rsidR="00D45476" w:rsidRPr="006D6D7A" w:rsidRDefault="00FB7EFD" w:rsidP="00D1104F">
      <w:pPr>
        <w:widowControl/>
        <w:tabs>
          <w:tab w:val="left" w:pos="990"/>
          <w:tab w:val="left" w:pos="3600"/>
          <w:tab w:val="left" w:pos="4320"/>
          <w:tab w:val="left" w:pos="5040"/>
          <w:tab w:val="left" w:pos="5760"/>
        </w:tabs>
        <w:ind w:left="990" w:hanging="990"/>
        <w:jc w:val="both"/>
        <w:rPr>
          <w:b/>
          <w:bCs/>
          <w:sz w:val="26"/>
          <w:szCs w:val="26"/>
        </w:rPr>
      </w:pPr>
      <w:r>
        <w:rPr>
          <w:b/>
          <w:bCs/>
          <w:sz w:val="26"/>
          <w:szCs w:val="26"/>
        </w:rPr>
        <w:t>1247</w:t>
      </w:r>
      <w:r w:rsidR="005C4321">
        <w:rPr>
          <w:b/>
          <w:bCs/>
          <w:sz w:val="26"/>
          <w:szCs w:val="26"/>
        </w:rPr>
        <w:t>B</w:t>
      </w:r>
      <w:r w:rsidR="0030125D">
        <w:rPr>
          <w:b/>
          <w:bCs/>
          <w:sz w:val="26"/>
          <w:szCs w:val="26"/>
        </w:rPr>
        <w:tab/>
      </w:r>
      <w:r w:rsidR="00D45476" w:rsidRPr="006D6D7A">
        <w:rPr>
          <w:b/>
          <w:bCs/>
          <w:sz w:val="26"/>
          <w:szCs w:val="26"/>
        </w:rPr>
        <w:t>B</w:t>
      </w:r>
      <w:r w:rsidRPr="006D6D7A">
        <w:rPr>
          <w:b/>
          <w:bCs/>
          <w:sz w:val="26"/>
          <w:szCs w:val="26"/>
        </w:rPr>
        <w:t>ATTERY OR THREAT TO</w:t>
      </w:r>
      <w:r w:rsidR="005C4321" w:rsidRPr="006D6D7A">
        <w:rPr>
          <w:b/>
          <w:bCs/>
          <w:sz w:val="26"/>
          <w:szCs w:val="26"/>
        </w:rPr>
        <w:t xml:space="preserve"> A HEALTH CARE PROVIDER</w:t>
      </w:r>
      <w:r w:rsidR="0030125D" w:rsidRPr="006D6D7A">
        <w:rPr>
          <w:b/>
          <w:bCs/>
          <w:sz w:val="26"/>
          <w:szCs w:val="26"/>
        </w:rPr>
        <w:t xml:space="preserve">  </w:t>
      </w:r>
      <w:r w:rsidRPr="006D6D7A">
        <w:rPr>
          <w:b/>
          <w:bCs/>
          <w:sz w:val="26"/>
          <w:szCs w:val="26"/>
        </w:rPr>
        <w:t xml:space="preserve"> — § 940.204</w:t>
      </w:r>
      <w:r w:rsidR="005C4321" w:rsidRPr="006D6D7A">
        <w:rPr>
          <w:b/>
          <w:bCs/>
          <w:sz w:val="26"/>
          <w:szCs w:val="26"/>
        </w:rPr>
        <w:t>(3)</w:t>
      </w:r>
    </w:p>
    <w:p w14:paraId="11541A19" w14:textId="22DF0004" w:rsidR="00D45476" w:rsidRPr="00D1104F" w:rsidRDefault="00D45476" w:rsidP="00D1104F">
      <w:pPr>
        <w:pStyle w:val="NoSpacing"/>
        <w:rPr>
          <w:sz w:val="26"/>
          <w:szCs w:val="26"/>
        </w:rPr>
      </w:pPr>
    </w:p>
    <w:p w14:paraId="60106B93" w14:textId="3DD18745" w:rsidR="0030125D" w:rsidRPr="00D1104F" w:rsidRDefault="0030125D" w:rsidP="00D1104F">
      <w:pPr>
        <w:pStyle w:val="NoSpacing"/>
        <w:rPr>
          <w:sz w:val="26"/>
          <w:szCs w:val="26"/>
        </w:rPr>
      </w:pPr>
    </w:p>
    <w:p w14:paraId="6279FE08" w14:textId="77777777" w:rsidR="00D45476" w:rsidRPr="006D6D7A" w:rsidRDefault="00D45476" w:rsidP="005F6FA7">
      <w:pPr>
        <w:pStyle w:val="NoSpacing"/>
        <w:spacing w:line="480" w:lineRule="auto"/>
        <w:jc w:val="center"/>
        <w:rPr>
          <w:b/>
          <w:sz w:val="26"/>
          <w:szCs w:val="26"/>
        </w:rPr>
      </w:pPr>
      <w:r w:rsidRPr="006D6D7A">
        <w:rPr>
          <w:b/>
          <w:sz w:val="26"/>
          <w:szCs w:val="26"/>
        </w:rPr>
        <w:t>Statutory Definition of the Crime</w:t>
      </w:r>
    </w:p>
    <w:p w14:paraId="7455EF68" w14:textId="3EBE9C00" w:rsidR="00E022CA" w:rsidRPr="006D6D7A" w:rsidRDefault="00FB7EFD" w:rsidP="00855E87">
      <w:pPr>
        <w:pStyle w:val="NoSpacing"/>
        <w:spacing w:line="480" w:lineRule="auto"/>
        <w:ind w:firstLine="450"/>
        <w:jc w:val="both"/>
        <w:rPr>
          <w:sz w:val="26"/>
          <w:szCs w:val="26"/>
        </w:rPr>
      </w:pPr>
      <w:r w:rsidRPr="006D6D7A">
        <w:rPr>
          <w:sz w:val="26"/>
          <w:szCs w:val="26"/>
        </w:rPr>
        <w:t>Section 940.204</w:t>
      </w:r>
      <w:r w:rsidR="006C3527" w:rsidRPr="006D6D7A">
        <w:rPr>
          <w:sz w:val="26"/>
          <w:szCs w:val="26"/>
        </w:rPr>
        <w:t>(3</w:t>
      </w:r>
      <w:r w:rsidR="0030125D" w:rsidRPr="006D6D7A">
        <w:rPr>
          <w:sz w:val="26"/>
          <w:szCs w:val="26"/>
        </w:rPr>
        <w:t>)</w:t>
      </w:r>
      <w:r w:rsidR="00D45476" w:rsidRPr="006D6D7A">
        <w:rPr>
          <w:sz w:val="26"/>
          <w:szCs w:val="26"/>
        </w:rPr>
        <w:t xml:space="preserve"> of the Criminal Code of Wisconsin is violated by one </w:t>
      </w:r>
      <w:r w:rsidR="00243CAB" w:rsidRPr="006D6D7A">
        <w:rPr>
          <w:sz w:val="26"/>
          <w:szCs w:val="26"/>
        </w:rPr>
        <w:t>who intentionally</w:t>
      </w:r>
      <w:r w:rsidR="004D6DBF" w:rsidRPr="006D6D7A">
        <w:rPr>
          <w:sz w:val="26"/>
          <w:szCs w:val="26"/>
        </w:rPr>
        <w:t xml:space="preserve"> (causes) (threat</w:t>
      </w:r>
      <w:r w:rsidR="00CB00DE" w:rsidRPr="006D6D7A">
        <w:rPr>
          <w:sz w:val="26"/>
          <w:szCs w:val="26"/>
        </w:rPr>
        <w:t>ens to cause) bodily harm to the (</w:t>
      </w:r>
      <w:r w:rsidR="004D6DBF" w:rsidRPr="006D6D7A">
        <w:rPr>
          <w:sz w:val="26"/>
          <w:szCs w:val="26"/>
        </w:rPr>
        <w:t>person</w:t>
      </w:r>
      <w:r w:rsidR="00CB00DE" w:rsidRPr="006D6D7A">
        <w:rPr>
          <w:sz w:val="26"/>
          <w:szCs w:val="26"/>
        </w:rPr>
        <w:t xml:space="preserve">) (family member) of any </w:t>
      </w:r>
      <w:r w:rsidR="006C3527" w:rsidRPr="006D6D7A">
        <w:rPr>
          <w:sz w:val="26"/>
          <w:szCs w:val="26"/>
        </w:rPr>
        <w:t xml:space="preserve">health care provider </w:t>
      </w:r>
      <w:r w:rsidR="00CB00DE" w:rsidRPr="006D6D7A">
        <w:rPr>
          <w:sz w:val="26"/>
          <w:szCs w:val="26"/>
        </w:rPr>
        <w:t>where at the time of the (act) (threat), the person knows</w:t>
      </w:r>
      <w:r w:rsidR="0047694F" w:rsidRPr="006D6D7A">
        <w:rPr>
          <w:sz w:val="26"/>
          <w:szCs w:val="26"/>
          <w:vertAlign w:val="superscript"/>
        </w:rPr>
        <w:t>1</w:t>
      </w:r>
      <w:r w:rsidR="00F2504C" w:rsidRPr="006D6D7A">
        <w:rPr>
          <w:sz w:val="26"/>
          <w:szCs w:val="26"/>
        </w:rPr>
        <w:t xml:space="preserve"> that the victim </w:t>
      </w:r>
      <w:r w:rsidR="006C3527" w:rsidRPr="006D6D7A">
        <w:rPr>
          <w:sz w:val="26"/>
          <w:szCs w:val="26"/>
        </w:rPr>
        <w:t>is</w:t>
      </w:r>
      <w:r w:rsidR="00CB00DE" w:rsidRPr="006D6D7A">
        <w:rPr>
          <w:sz w:val="26"/>
          <w:szCs w:val="26"/>
        </w:rPr>
        <w:t xml:space="preserve"> </w:t>
      </w:r>
      <w:r w:rsidR="00F2504C" w:rsidRPr="006D6D7A">
        <w:rPr>
          <w:sz w:val="26"/>
          <w:szCs w:val="26"/>
        </w:rPr>
        <w:t>a (</w:t>
      </w:r>
      <w:r w:rsidR="006C3527" w:rsidRPr="006D6D7A">
        <w:rPr>
          <w:sz w:val="26"/>
          <w:szCs w:val="26"/>
        </w:rPr>
        <w:t>health care provider</w:t>
      </w:r>
      <w:r w:rsidR="00855E87" w:rsidRPr="006D6D7A">
        <w:rPr>
          <w:sz w:val="26"/>
          <w:szCs w:val="26"/>
        </w:rPr>
        <w:t xml:space="preserve">) </w:t>
      </w:r>
      <w:r w:rsidR="00F2504C" w:rsidRPr="006D6D7A">
        <w:rPr>
          <w:sz w:val="26"/>
          <w:szCs w:val="26"/>
        </w:rPr>
        <w:t>(</w:t>
      </w:r>
      <w:r w:rsidR="00877BBF" w:rsidRPr="006D6D7A">
        <w:rPr>
          <w:sz w:val="26"/>
          <w:szCs w:val="26"/>
        </w:rPr>
        <w:t xml:space="preserve">family member of </w:t>
      </w:r>
      <w:r w:rsidR="006C3527" w:rsidRPr="006D6D7A">
        <w:rPr>
          <w:sz w:val="26"/>
          <w:szCs w:val="26"/>
        </w:rPr>
        <w:t>a health care provider</w:t>
      </w:r>
      <w:r w:rsidR="00712294" w:rsidRPr="006D6D7A">
        <w:rPr>
          <w:sz w:val="26"/>
          <w:szCs w:val="26"/>
        </w:rPr>
        <w:t xml:space="preserve">), </w:t>
      </w:r>
      <w:r w:rsidR="00F45BC2" w:rsidRPr="006D6D7A">
        <w:rPr>
          <w:sz w:val="26"/>
          <w:szCs w:val="26"/>
        </w:rPr>
        <w:t xml:space="preserve">the (act) (threat) is in </w:t>
      </w:r>
      <w:r w:rsidR="00855E87" w:rsidRPr="006D6D7A">
        <w:rPr>
          <w:sz w:val="26"/>
          <w:szCs w:val="26"/>
        </w:rPr>
        <w:t>response to an action by the health care provider act</w:t>
      </w:r>
      <w:r w:rsidR="00D207E2" w:rsidRPr="006D6D7A">
        <w:rPr>
          <w:sz w:val="26"/>
          <w:szCs w:val="26"/>
        </w:rPr>
        <w:t>ing in their</w:t>
      </w:r>
      <w:r w:rsidR="00855E87" w:rsidRPr="006D6D7A">
        <w:rPr>
          <w:sz w:val="26"/>
          <w:szCs w:val="26"/>
        </w:rPr>
        <w:t xml:space="preserve"> </w:t>
      </w:r>
      <w:r w:rsidR="006A0E2D" w:rsidRPr="006D6D7A">
        <w:rPr>
          <w:sz w:val="26"/>
          <w:szCs w:val="26"/>
        </w:rPr>
        <w:t>official capacity</w:t>
      </w:r>
      <w:r w:rsidR="00855E87" w:rsidRPr="006D6D7A">
        <w:rPr>
          <w:sz w:val="26"/>
          <w:szCs w:val="26"/>
        </w:rPr>
        <w:t xml:space="preserve">, </w:t>
      </w:r>
      <w:r w:rsidR="00712294" w:rsidRPr="006D6D7A">
        <w:rPr>
          <w:sz w:val="26"/>
          <w:szCs w:val="26"/>
        </w:rPr>
        <w:t>and there is no consent by the person (harmed) (threatened).</w:t>
      </w:r>
    </w:p>
    <w:p w14:paraId="4A59B76B" w14:textId="3E6F1754" w:rsidR="00D45476" w:rsidRPr="006D6D7A" w:rsidRDefault="00243CAB" w:rsidP="005F6FA7">
      <w:pPr>
        <w:pStyle w:val="NoSpacing"/>
        <w:spacing w:line="480" w:lineRule="auto"/>
        <w:jc w:val="center"/>
        <w:rPr>
          <w:b/>
          <w:sz w:val="26"/>
          <w:szCs w:val="26"/>
        </w:rPr>
      </w:pPr>
      <w:r w:rsidRPr="006D6D7A">
        <w:rPr>
          <w:b/>
          <w:sz w:val="26"/>
          <w:szCs w:val="26"/>
        </w:rPr>
        <w:t>State’</w:t>
      </w:r>
      <w:r w:rsidR="00D45476" w:rsidRPr="006D6D7A">
        <w:rPr>
          <w:b/>
          <w:sz w:val="26"/>
          <w:szCs w:val="26"/>
        </w:rPr>
        <w:t>s Burden of Proof</w:t>
      </w:r>
    </w:p>
    <w:p w14:paraId="6EDE58B0" w14:textId="77777777" w:rsidR="00D45476" w:rsidRPr="006D6D7A" w:rsidRDefault="00D45476" w:rsidP="005F6FA7">
      <w:pPr>
        <w:pStyle w:val="NoSpacing"/>
        <w:spacing w:line="480" w:lineRule="auto"/>
        <w:ind w:firstLine="450"/>
        <w:jc w:val="both"/>
        <w:rPr>
          <w:sz w:val="26"/>
          <w:szCs w:val="26"/>
        </w:rPr>
      </w:pPr>
      <w:r w:rsidRPr="006D6D7A">
        <w:rPr>
          <w:sz w:val="26"/>
          <w:szCs w:val="26"/>
        </w:rPr>
        <w:t>Before you may find the defendant guilty of this offense, the State must prove by evidence which satisfies you beyond a reasonable doubt that the following six elements were present.</w:t>
      </w:r>
    </w:p>
    <w:p w14:paraId="62FD4974" w14:textId="77777777" w:rsidR="00D45476" w:rsidRPr="006D6D7A" w:rsidRDefault="00D45476" w:rsidP="005F6FA7">
      <w:pPr>
        <w:pStyle w:val="NoSpacing"/>
        <w:spacing w:line="480" w:lineRule="auto"/>
        <w:jc w:val="center"/>
        <w:rPr>
          <w:b/>
          <w:sz w:val="26"/>
          <w:szCs w:val="26"/>
        </w:rPr>
      </w:pPr>
      <w:r w:rsidRPr="006D6D7A">
        <w:rPr>
          <w:b/>
          <w:sz w:val="26"/>
          <w:szCs w:val="26"/>
        </w:rPr>
        <w:t>Elements of the Crime That the State Must Prove</w:t>
      </w:r>
    </w:p>
    <w:p w14:paraId="29F7C82D" w14:textId="01D1FC50" w:rsidR="00D45476" w:rsidRPr="006D6D7A" w:rsidRDefault="00D45476" w:rsidP="005F6FA7">
      <w:pPr>
        <w:pStyle w:val="NoSpacing"/>
        <w:tabs>
          <w:tab w:val="left" w:pos="900"/>
        </w:tabs>
        <w:spacing w:line="480" w:lineRule="auto"/>
        <w:ind w:left="900" w:hanging="450"/>
        <w:jc w:val="both"/>
        <w:rPr>
          <w:sz w:val="26"/>
          <w:szCs w:val="26"/>
        </w:rPr>
      </w:pPr>
      <w:r w:rsidRPr="006D6D7A">
        <w:rPr>
          <w:sz w:val="26"/>
          <w:szCs w:val="26"/>
        </w:rPr>
        <w:t>1.</w:t>
      </w:r>
      <w:r w:rsidRPr="006D6D7A">
        <w:rPr>
          <w:sz w:val="26"/>
          <w:szCs w:val="26"/>
        </w:rPr>
        <w:tab/>
        <w:t xml:space="preserve">The defendant (caused) (threatened to cause) bodily harm </w:t>
      </w:r>
      <w:r w:rsidR="00243CAB" w:rsidRPr="006D6D7A">
        <w:rPr>
          <w:sz w:val="26"/>
          <w:szCs w:val="26"/>
        </w:rPr>
        <w:t>to (</w:t>
      </w:r>
      <w:r w:rsidRPr="006D6D7A">
        <w:rPr>
          <w:sz w:val="26"/>
          <w:szCs w:val="26"/>
          <w:u w:val="single"/>
        </w:rPr>
        <w:t>name of victim</w:t>
      </w:r>
      <w:r w:rsidR="00243CAB" w:rsidRPr="006D6D7A">
        <w:rPr>
          <w:sz w:val="26"/>
          <w:szCs w:val="26"/>
        </w:rPr>
        <w:t>).</w:t>
      </w:r>
    </w:p>
    <w:p w14:paraId="21C72271" w14:textId="753D8189" w:rsidR="00D45476" w:rsidRPr="006D6D7A" w:rsidRDefault="001C6684" w:rsidP="005F6FA7">
      <w:pPr>
        <w:pStyle w:val="NoSpacing"/>
        <w:spacing w:line="480" w:lineRule="auto"/>
        <w:ind w:left="900" w:firstLine="360"/>
        <w:jc w:val="both"/>
        <w:rPr>
          <w:sz w:val="26"/>
          <w:szCs w:val="26"/>
        </w:rPr>
      </w:pPr>
      <w:r w:rsidRPr="006D6D7A">
        <w:rPr>
          <w:sz w:val="26"/>
          <w:szCs w:val="26"/>
        </w:rPr>
        <w:t>“Bodily harm”</w:t>
      </w:r>
      <w:r w:rsidR="00D45476" w:rsidRPr="006D6D7A">
        <w:rPr>
          <w:sz w:val="26"/>
          <w:szCs w:val="26"/>
        </w:rPr>
        <w:t xml:space="preserve"> means physical pain or injury, illness, or any impairment of physical condition.</w:t>
      </w:r>
      <w:r w:rsidR="002F2B61" w:rsidRPr="006D6D7A">
        <w:rPr>
          <w:sz w:val="26"/>
          <w:szCs w:val="26"/>
          <w:vertAlign w:val="superscript"/>
        </w:rPr>
        <w:t>2</w:t>
      </w:r>
      <w:r w:rsidR="00D45476" w:rsidRPr="006D6D7A">
        <w:rPr>
          <w:sz w:val="26"/>
          <w:szCs w:val="26"/>
        </w:rPr>
        <w:t xml:space="preserve"> </w:t>
      </w:r>
    </w:p>
    <w:p w14:paraId="46472BF8" w14:textId="4DFB281A" w:rsidR="00D45476" w:rsidRPr="006D6D7A" w:rsidRDefault="00D45476" w:rsidP="0084286A">
      <w:pPr>
        <w:pStyle w:val="NoSpacing"/>
        <w:ind w:left="900"/>
        <w:jc w:val="both"/>
        <w:rPr>
          <w:sz w:val="26"/>
          <w:szCs w:val="26"/>
        </w:rPr>
      </w:pPr>
      <w:r w:rsidRPr="006D6D7A">
        <w:rPr>
          <w:sz w:val="26"/>
          <w:szCs w:val="26"/>
        </w:rPr>
        <w:t>IF THE CASE INVOLVES CAUSING BODILY HARM, ADD THE FOLLOWING:</w:t>
      </w:r>
    </w:p>
    <w:p w14:paraId="373E4244" w14:textId="77777777" w:rsidR="0084286A" w:rsidRPr="006D6D7A" w:rsidRDefault="0084286A" w:rsidP="0084286A">
      <w:pPr>
        <w:pStyle w:val="NoSpacing"/>
        <w:ind w:left="900"/>
        <w:jc w:val="both"/>
        <w:rPr>
          <w:sz w:val="26"/>
          <w:szCs w:val="26"/>
        </w:rPr>
      </w:pPr>
    </w:p>
    <w:p w14:paraId="336E9C0A" w14:textId="2B7EB89D" w:rsidR="00D45476" w:rsidRPr="006D6D7A" w:rsidRDefault="001C6684" w:rsidP="005F6FA7">
      <w:pPr>
        <w:pStyle w:val="NoSpacing"/>
        <w:spacing w:line="480" w:lineRule="auto"/>
        <w:ind w:left="900" w:firstLine="360"/>
        <w:jc w:val="both"/>
        <w:rPr>
          <w:sz w:val="26"/>
          <w:szCs w:val="26"/>
        </w:rPr>
      </w:pPr>
      <w:r w:rsidRPr="006D6D7A">
        <w:rPr>
          <w:sz w:val="26"/>
          <w:szCs w:val="26"/>
        </w:rPr>
        <w:t>[“Cause” means that the defendant’</w:t>
      </w:r>
      <w:r w:rsidR="00D45476" w:rsidRPr="006D6D7A">
        <w:rPr>
          <w:sz w:val="26"/>
          <w:szCs w:val="26"/>
        </w:rPr>
        <w:t>s act was a substantial factor in producing the bodily harm.]</w:t>
      </w:r>
      <w:r w:rsidR="002F2B61" w:rsidRPr="006D6D7A">
        <w:rPr>
          <w:sz w:val="26"/>
          <w:szCs w:val="26"/>
          <w:vertAlign w:val="superscript"/>
        </w:rPr>
        <w:t>3</w:t>
      </w:r>
      <w:r w:rsidR="00D45476" w:rsidRPr="006D6D7A">
        <w:rPr>
          <w:sz w:val="26"/>
          <w:szCs w:val="26"/>
        </w:rPr>
        <w:t xml:space="preserve"> </w:t>
      </w:r>
    </w:p>
    <w:p w14:paraId="35650865" w14:textId="77777777" w:rsidR="00D45476" w:rsidRPr="006D6D7A" w:rsidRDefault="00D45476" w:rsidP="005F6FA7">
      <w:pPr>
        <w:pStyle w:val="NoSpacing"/>
        <w:spacing w:line="480" w:lineRule="auto"/>
        <w:ind w:left="900"/>
        <w:jc w:val="both"/>
        <w:rPr>
          <w:sz w:val="26"/>
          <w:szCs w:val="26"/>
        </w:rPr>
      </w:pPr>
      <w:r w:rsidRPr="006D6D7A">
        <w:rPr>
          <w:sz w:val="26"/>
          <w:szCs w:val="26"/>
        </w:rPr>
        <w:lastRenderedPageBreak/>
        <w:t>IF THE CASE INVOLVES A THREAT, ADD THE FOLLOWING:</w:t>
      </w:r>
    </w:p>
    <w:p w14:paraId="7FFFDF95" w14:textId="54466DA1" w:rsidR="00D45476" w:rsidRPr="006D6D7A" w:rsidRDefault="001C6684" w:rsidP="005F6FA7">
      <w:pPr>
        <w:pStyle w:val="NoSpacing"/>
        <w:spacing w:line="480" w:lineRule="auto"/>
        <w:ind w:left="900" w:firstLine="360"/>
        <w:jc w:val="both"/>
        <w:rPr>
          <w:sz w:val="26"/>
          <w:szCs w:val="26"/>
        </w:rPr>
      </w:pPr>
      <w:r w:rsidRPr="006D6D7A">
        <w:rPr>
          <w:sz w:val="26"/>
          <w:szCs w:val="26"/>
        </w:rPr>
        <w:t>[A “threat”</w:t>
      </w:r>
      <w:r w:rsidR="00D45476" w:rsidRPr="006D6D7A">
        <w:rPr>
          <w:sz w:val="26"/>
          <w:szCs w:val="26"/>
        </w:rPr>
        <w:t xml:space="preserve"> is an expression of intention to do harm and may be communicated orally, in writing, or by conduct.  This el</w:t>
      </w:r>
      <w:r w:rsidRPr="006D6D7A">
        <w:rPr>
          <w:sz w:val="26"/>
          <w:szCs w:val="26"/>
        </w:rPr>
        <w:t>ement requires a true threat.  “True threat”</w:t>
      </w:r>
      <w:r w:rsidR="00D45476" w:rsidRPr="006D6D7A">
        <w:rPr>
          <w:sz w:val="26"/>
          <w:szCs w:val="26"/>
        </w:rPr>
        <w:t xml:space="preserve"> means that a reasonable person making the threat would foresee that a reasonable person would interpret the threat as a serious expression of intent to do harm.  It is not necessary that the person making the threat have the ability to carry out the threat.  You must consider all the circumstances in determining whether a threat is a true threat.]</w:t>
      </w:r>
      <w:r w:rsidR="002F2B61" w:rsidRPr="006D6D7A">
        <w:rPr>
          <w:sz w:val="26"/>
          <w:szCs w:val="26"/>
          <w:vertAlign w:val="superscript"/>
        </w:rPr>
        <w:t>4</w:t>
      </w:r>
      <w:r w:rsidR="00D45476" w:rsidRPr="006D6D7A">
        <w:rPr>
          <w:sz w:val="26"/>
          <w:szCs w:val="26"/>
        </w:rPr>
        <w:t xml:space="preserve"> </w:t>
      </w:r>
    </w:p>
    <w:p w14:paraId="16314F9E" w14:textId="13078B50" w:rsidR="00D45476" w:rsidRPr="006D6D7A" w:rsidRDefault="00D45476" w:rsidP="005F6FA7">
      <w:pPr>
        <w:pStyle w:val="NoSpacing"/>
        <w:tabs>
          <w:tab w:val="left" w:pos="900"/>
        </w:tabs>
        <w:spacing w:line="480" w:lineRule="auto"/>
        <w:ind w:left="900" w:hanging="450"/>
        <w:jc w:val="both"/>
        <w:rPr>
          <w:sz w:val="26"/>
          <w:szCs w:val="26"/>
        </w:rPr>
      </w:pPr>
      <w:r w:rsidRPr="006D6D7A">
        <w:rPr>
          <w:sz w:val="26"/>
          <w:szCs w:val="26"/>
        </w:rPr>
        <w:t>2.</w:t>
      </w:r>
      <w:r w:rsidRPr="006D6D7A">
        <w:rPr>
          <w:sz w:val="26"/>
          <w:szCs w:val="26"/>
        </w:rPr>
        <w:tab/>
        <w:t xml:space="preserve"> (</w:t>
      </w:r>
      <w:r w:rsidRPr="006D6D7A">
        <w:rPr>
          <w:sz w:val="26"/>
          <w:szCs w:val="26"/>
          <w:u w:val="single"/>
        </w:rPr>
        <w:t>Name of victim</w:t>
      </w:r>
      <w:r w:rsidR="001C6684" w:rsidRPr="006D6D7A">
        <w:rPr>
          <w:sz w:val="26"/>
          <w:szCs w:val="26"/>
        </w:rPr>
        <w:t>) was</w:t>
      </w:r>
      <w:r w:rsidR="00877BBF" w:rsidRPr="006D6D7A">
        <w:rPr>
          <w:sz w:val="26"/>
          <w:szCs w:val="26"/>
        </w:rPr>
        <w:t xml:space="preserve"> a</w:t>
      </w:r>
      <w:r w:rsidR="00A334EC" w:rsidRPr="006D6D7A">
        <w:rPr>
          <w:sz w:val="26"/>
          <w:szCs w:val="26"/>
        </w:rPr>
        <w:t xml:space="preserve"> </w:t>
      </w:r>
      <w:r w:rsidR="00877BBF" w:rsidRPr="006D6D7A">
        <w:rPr>
          <w:sz w:val="26"/>
          <w:szCs w:val="26"/>
        </w:rPr>
        <w:t>(</w:t>
      </w:r>
      <w:r w:rsidR="00A334EC" w:rsidRPr="006D6D7A">
        <w:rPr>
          <w:sz w:val="26"/>
          <w:szCs w:val="26"/>
        </w:rPr>
        <w:t>health care provider</w:t>
      </w:r>
      <w:r w:rsidR="00F2504C" w:rsidRPr="006D6D7A">
        <w:rPr>
          <w:sz w:val="26"/>
          <w:szCs w:val="26"/>
        </w:rPr>
        <w:t>)</w:t>
      </w:r>
      <w:r w:rsidR="000D2A6B" w:rsidRPr="006D6D7A">
        <w:rPr>
          <w:sz w:val="26"/>
          <w:szCs w:val="26"/>
        </w:rPr>
        <w:t xml:space="preserve"> (</w:t>
      </w:r>
      <w:r w:rsidR="00877BBF" w:rsidRPr="006D6D7A">
        <w:rPr>
          <w:sz w:val="26"/>
          <w:szCs w:val="26"/>
        </w:rPr>
        <w:t xml:space="preserve">family member of a </w:t>
      </w:r>
      <w:r w:rsidR="00F2504C" w:rsidRPr="006D6D7A">
        <w:rPr>
          <w:sz w:val="26"/>
          <w:szCs w:val="26"/>
        </w:rPr>
        <w:t>health care provider</w:t>
      </w:r>
      <w:r w:rsidR="00877BBF" w:rsidRPr="006D6D7A">
        <w:rPr>
          <w:sz w:val="26"/>
          <w:szCs w:val="26"/>
        </w:rPr>
        <w:t>)</w:t>
      </w:r>
      <w:r w:rsidR="004E5C67" w:rsidRPr="006D6D7A">
        <w:rPr>
          <w:sz w:val="26"/>
          <w:szCs w:val="26"/>
        </w:rPr>
        <w:t>.</w:t>
      </w:r>
    </w:p>
    <w:p w14:paraId="3EA2F0A3" w14:textId="4DEAB1E9" w:rsidR="00F464F5" w:rsidRPr="006D6D7A" w:rsidRDefault="00D207E2" w:rsidP="005F6FA7">
      <w:pPr>
        <w:pStyle w:val="NoSpacing"/>
        <w:spacing w:line="480" w:lineRule="auto"/>
        <w:ind w:left="1260"/>
        <w:jc w:val="both"/>
        <w:rPr>
          <w:sz w:val="26"/>
          <w:szCs w:val="26"/>
          <w:vertAlign w:val="superscript"/>
        </w:rPr>
      </w:pPr>
      <w:r w:rsidRPr="006D6D7A">
        <w:rPr>
          <w:sz w:val="26"/>
          <w:szCs w:val="26"/>
        </w:rPr>
        <w:t>[</w:t>
      </w:r>
      <w:r w:rsidR="00F464F5" w:rsidRPr="006D6D7A">
        <w:rPr>
          <w:sz w:val="26"/>
          <w:szCs w:val="26"/>
        </w:rPr>
        <w:t>a (</w:t>
      </w:r>
      <w:r w:rsidR="00991CAD" w:rsidRPr="006D6D7A">
        <w:rPr>
          <w:sz w:val="26"/>
          <w:szCs w:val="26"/>
          <w:u w:val="single"/>
        </w:rPr>
        <w:t>e.g., nurse</w:t>
      </w:r>
      <w:r w:rsidR="00F464F5" w:rsidRPr="006D6D7A">
        <w:rPr>
          <w:sz w:val="26"/>
          <w:szCs w:val="26"/>
        </w:rPr>
        <w:t>) is a health care provider.]</w:t>
      </w:r>
      <w:r w:rsidR="007B316B" w:rsidRPr="006D6D7A">
        <w:rPr>
          <w:sz w:val="26"/>
          <w:szCs w:val="26"/>
          <w:vertAlign w:val="superscript"/>
        </w:rPr>
        <w:t>5</w:t>
      </w:r>
    </w:p>
    <w:p w14:paraId="7CC816DE" w14:textId="602C69DB" w:rsidR="00D45476" w:rsidRPr="006D6D7A" w:rsidRDefault="00D207E2" w:rsidP="005F6FA7">
      <w:pPr>
        <w:pStyle w:val="NoSpacing"/>
        <w:spacing w:line="480" w:lineRule="auto"/>
        <w:ind w:left="1260"/>
        <w:jc w:val="both"/>
        <w:rPr>
          <w:sz w:val="26"/>
          <w:szCs w:val="26"/>
        </w:rPr>
      </w:pPr>
      <w:r w:rsidRPr="006D6D7A">
        <w:rPr>
          <w:sz w:val="26"/>
          <w:szCs w:val="26"/>
        </w:rPr>
        <w:t>[</w:t>
      </w:r>
      <w:r w:rsidR="005F6FA7" w:rsidRPr="006D6D7A">
        <w:rPr>
          <w:sz w:val="26"/>
          <w:szCs w:val="26"/>
        </w:rPr>
        <w:t>a (</w:t>
      </w:r>
      <w:r w:rsidR="00D45476" w:rsidRPr="006D6D7A">
        <w:rPr>
          <w:sz w:val="26"/>
          <w:szCs w:val="26"/>
          <w:u w:val="single"/>
        </w:rPr>
        <w:t>e.g., child</w:t>
      </w:r>
      <w:r w:rsidR="005F6FA7" w:rsidRPr="006D6D7A">
        <w:rPr>
          <w:sz w:val="26"/>
          <w:szCs w:val="26"/>
        </w:rPr>
        <w:t>) is</w:t>
      </w:r>
      <w:r w:rsidR="00D45476" w:rsidRPr="006D6D7A">
        <w:rPr>
          <w:sz w:val="26"/>
          <w:szCs w:val="26"/>
        </w:rPr>
        <w:t xml:space="preserve"> a family member.]</w:t>
      </w:r>
      <w:r w:rsidR="002F2B61" w:rsidRPr="006D6D7A">
        <w:rPr>
          <w:sz w:val="26"/>
          <w:szCs w:val="26"/>
          <w:vertAlign w:val="superscript"/>
        </w:rPr>
        <w:t>6</w:t>
      </w:r>
      <w:r w:rsidR="00D45476" w:rsidRPr="006D6D7A">
        <w:rPr>
          <w:sz w:val="26"/>
          <w:szCs w:val="26"/>
        </w:rPr>
        <w:t xml:space="preserve"> </w:t>
      </w:r>
    </w:p>
    <w:p w14:paraId="232244E0" w14:textId="489E5551" w:rsidR="00D45476" w:rsidRPr="006D6D7A" w:rsidRDefault="00D45476" w:rsidP="005F6FA7">
      <w:pPr>
        <w:pStyle w:val="NoSpacing"/>
        <w:tabs>
          <w:tab w:val="left" w:pos="900"/>
        </w:tabs>
        <w:spacing w:line="480" w:lineRule="auto"/>
        <w:ind w:left="900" w:hanging="450"/>
        <w:jc w:val="both"/>
        <w:rPr>
          <w:sz w:val="26"/>
          <w:szCs w:val="26"/>
        </w:rPr>
      </w:pPr>
      <w:r w:rsidRPr="006D6D7A">
        <w:rPr>
          <w:sz w:val="26"/>
          <w:szCs w:val="26"/>
        </w:rPr>
        <w:t>3.</w:t>
      </w:r>
      <w:r w:rsidRPr="006D6D7A">
        <w:rPr>
          <w:sz w:val="26"/>
          <w:szCs w:val="26"/>
        </w:rPr>
        <w:tab/>
        <w:t>At the time of the (act) (threat) the defendant knew</w:t>
      </w:r>
      <w:r w:rsidR="00D207E2" w:rsidRPr="006D6D7A">
        <w:rPr>
          <w:sz w:val="26"/>
          <w:szCs w:val="26"/>
        </w:rPr>
        <w:t xml:space="preserve"> or should have known</w:t>
      </w:r>
      <w:r w:rsidR="002F2B61" w:rsidRPr="006D6D7A">
        <w:rPr>
          <w:sz w:val="26"/>
          <w:szCs w:val="26"/>
          <w:vertAlign w:val="superscript"/>
        </w:rPr>
        <w:t>7</w:t>
      </w:r>
      <w:r w:rsidR="005F6FA7" w:rsidRPr="006D6D7A">
        <w:rPr>
          <w:sz w:val="26"/>
          <w:szCs w:val="26"/>
        </w:rPr>
        <w:t xml:space="preserve"> that (</w:t>
      </w:r>
      <w:r w:rsidR="005F6FA7" w:rsidRPr="006D6D7A">
        <w:rPr>
          <w:sz w:val="26"/>
          <w:szCs w:val="26"/>
          <w:u w:val="single"/>
        </w:rPr>
        <w:t>name of victim</w:t>
      </w:r>
      <w:r w:rsidR="005F6FA7" w:rsidRPr="006D6D7A">
        <w:rPr>
          <w:sz w:val="26"/>
          <w:szCs w:val="26"/>
        </w:rPr>
        <w:t xml:space="preserve">) </w:t>
      </w:r>
      <w:r w:rsidRPr="006D6D7A">
        <w:rPr>
          <w:sz w:val="26"/>
          <w:szCs w:val="26"/>
        </w:rPr>
        <w:t xml:space="preserve">was </w:t>
      </w:r>
      <w:r w:rsidR="00877BBF" w:rsidRPr="006D6D7A">
        <w:rPr>
          <w:sz w:val="26"/>
          <w:szCs w:val="26"/>
        </w:rPr>
        <w:t>a (health care provider) (family member of a healthcare provider).</w:t>
      </w:r>
    </w:p>
    <w:p w14:paraId="0130E239" w14:textId="45461163" w:rsidR="003F6794" w:rsidRPr="006D6D7A" w:rsidRDefault="00877BBF" w:rsidP="00FF368A">
      <w:pPr>
        <w:pStyle w:val="NoSpacing"/>
        <w:tabs>
          <w:tab w:val="left" w:pos="900"/>
        </w:tabs>
        <w:spacing w:line="480" w:lineRule="auto"/>
        <w:ind w:left="900" w:hanging="450"/>
        <w:jc w:val="both"/>
        <w:rPr>
          <w:sz w:val="26"/>
          <w:szCs w:val="26"/>
        </w:rPr>
      </w:pPr>
      <w:r w:rsidRPr="006D6D7A">
        <w:rPr>
          <w:sz w:val="26"/>
          <w:szCs w:val="26"/>
        </w:rPr>
        <w:t>4.</w:t>
      </w:r>
      <w:r w:rsidRPr="006D6D7A">
        <w:rPr>
          <w:sz w:val="26"/>
          <w:szCs w:val="26"/>
        </w:rPr>
        <w:tab/>
      </w:r>
      <w:r w:rsidR="00F45BC2" w:rsidRPr="006D6D7A">
        <w:rPr>
          <w:sz w:val="26"/>
          <w:szCs w:val="26"/>
        </w:rPr>
        <w:t>T</w:t>
      </w:r>
      <w:r w:rsidR="00F01008" w:rsidRPr="006D6D7A">
        <w:rPr>
          <w:sz w:val="26"/>
          <w:szCs w:val="26"/>
        </w:rPr>
        <w:t>he (act) (threat) was</w:t>
      </w:r>
      <w:r w:rsidR="00F45BC2" w:rsidRPr="006D6D7A">
        <w:rPr>
          <w:sz w:val="26"/>
          <w:szCs w:val="26"/>
        </w:rPr>
        <w:t xml:space="preserve"> in</w:t>
      </w:r>
      <w:r w:rsidR="00F01008" w:rsidRPr="006D6D7A">
        <w:rPr>
          <w:sz w:val="26"/>
          <w:szCs w:val="26"/>
        </w:rPr>
        <w:t xml:space="preserve"> </w:t>
      </w:r>
      <w:r w:rsidRPr="006D6D7A">
        <w:rPr>
          <w:sz w:val="26"/>
          <w:szCs w:val="26"/>
        </w:rPr>
        <w:t xml:space="preserve">response to an action by the health care provider acting </w:t>
      </w:r>
      <w:r w:rsidR="00D207E2" w:rsidRPr="006D6D7A">
        <w:rPr>
          <w:sz w:val="26"/>
          <w:szCs w:val="26"/>
        </w:rPr>
        <w:t>in their</w:t>
      </w:r>
      <w:r w:rsidRPr="006D6D7A">
        <w:rPr>
          <w:sz w:val="26"/>
          <w:szCs w:val="26"/>
        </w:rPr>
        <w:t xml:space="preserve"> </w:t>
      </w:r>
      <w:r w:rsidR="006A0E2D" w:rsidRPr="006D6D7A">
        <w:rPr>
          <w:sz w:val="26"/>
          <w:szCs w:val="26"/>
        </w:rPr>
        <w:t>official capacity</w:t>
      </w:r>
      <w:r w:rsidRPr="006D6D7A">
        <w:rPr>
          <w:sz w:val="26"/>
          <w:szCs w:val="26"/>
        </w:rPr>
        <w:t>.</w:t>
      </w:r>
    </w:p>
    <w:p w14:paraId="7B2EE6D3" w14:textId="45791F4C" w:rsidR="00D45476" w:rsidRPr="006D6D7A" w:rsidRDefault="00FF368A" w:rsidP="005F6FA7">
      <w:pPr>
        <w:pStyle w:val="NoSpacing"/>
        <w:spacing w:line="480" w:lineRule="auto"/>
        <w:ind w:left="900" w:firstLine="360"/>
        <w:jc w:val="both"/>
        <w:rPr>
          <w:sz w:val="26"/>
          <w:szCs w:val="26"/>
        </w:rPr>
      </w:pPr>
      <w:r w:rsidRPr="006D6D7A">
        <w:rPr>
          <w:sz w:val="26"/>
          <w:szCs w:val="26"/>
        </w:rPr>
        <w:t>Health care providers</w:t>
      </w:r>
      <w:r w:rsidR="00D45476" w:rsidRPr="006D6D7A">
        <w:rPr>
          <w:sz w:val="26"/>
          <w:szCs w:val="26"/>
        </w:rPr>
        <w:t xml:space="preserve"> act in an official capacity when they perform duties that they are </w:t>
      </w:r>
      <w:r w:rsidR="00543D40" w:rsidRPr="006D6D7A">
        <w:rPr>
          <w:sz w:val="26"/>
          <w:szCs w:val="26"/>
        </w:rPr>
        <w:t>authorized</w:t>
      </w:r>
      <w:r w:rsidR="005F6FA7" w:rsidRPr="006D6D7A">
        <w:rPr>
          <w:sz w:val="26"/>
          <w:szCs w:val="26"/>
        </w:rPr>
        <w:t xml:space="preserve"> to</w:t>
      </w:r>
      <w:r w:rsidR="00D45476" w:rsidRPr="006D6D7A">
        <w:rPr>
          <w:sz w:val="26"/>
          <w:szCs w:val="26"/>
        </w:rPr>
        <w:t xml:space="preserve"> </w:t>
      </w:r>
      <w:r w:rsidR="00543D40" w:rsidRPr="006D6D7A">
        <w:rPr>
          <w:sz w:val="26"/>
          <w:szCs w:val="26"/>
        </w:rPr>
        <w:t>perform.</w:t>
      </w:r>
      <w:r w:rsidR="00D45476" w:rsidRPr="006D6D7A">
        <w:rPr>
          <w:sz w:val="26"/>
          <w:szCs w:val="26"/>
        </w:rPr>
        <w:t xml:space="preserve"> </w:t>
      </w:r>
    </w:p>
    <w:p w14:paraId="515A2343" w14:textId="5B723129" w:rsidR="00D45476" w:rsidRPr="006D6D7A" w:rsidRDefault="00D45476" w:rsidP="005F6FA7">
      <w:pPr>
        <w:pStyle w:val="NoSpacing"/>
        <w:tabs>
          <w:tab w:val="left" w:pos="900"/>
        </w:tabs>
        <w:spacing w:line="480" w:lineRule="auto"/>
        <w:ind w:left="900" w:hanging="450"/>
        <w:jc w:val="both"/>
        <w:rPr>
          <w:sz w:val="26"/>
          <w:szCs w:val="26"/>
        </w:rPr>
      </w:pPr>
      <w:r w:rsidRPr="006D6D7A">
        <w:rPr>
          <w:sz w:val="26"/>
          <w:szCs w:val="26"/>
        </w:rPr>
        <w:t>5.</w:t>
      </w:r>
      <w:r w:rsidRPr="006D6D7A">
        <w:rPr>
          <w:sz w:val="26"/>
          <w:szCs w:val="26"/>
        </w:rPr>
        <w:tab/>
        <w:t xml:space="preserve">The defendant (caused) (threatened to cause) bodily harm without the </w:t>
      </w:r>
      <w:r w:rsidR="005F6FA7" w:rsidRPr="006D6D7A">
        <w:rPr>
          <w:sz w:val="26"/>
          <w:szCs w:val="26"/>
        </w:rPr>
        <w:t>consent</w:t>
      </w:r>
      <w:r w:rsidR="00A10847" w:rsidRPr="006D6D7A">
        <w:rPr>
          <w:sz w:val="26"/>
          <w:szCs w:val="26"/>
          <w:vertAlign w:val="superscript"/>
        </w:rPr>
        <w:t>8</w:t>
      </w:r>
      <w:r w:rsidR="005F6FA7" w:rsidRPr="006D6D7A">
        <w:rPr>
          <w:sz w:val="26"/>
          <w:szCs w:val="26"/>
        </w:rPr>
        <w:t xml:space="preserve"> of </w:t>
      </w:r>
      <w:r w:rsidR="005F6FA7" w:rsidRPr="006D6D7A">
        <w:rPr>
          <w:sz w:val="26"/>
          <w:szCs w:val="26"/>
        </w:rPr>
        <w:lastRenderedPageBreak/>
        <w:t>(</w:t>
      </w:r>
      <w:r w:rsidRPr="006D6D7A">
        <w:rPr>
          <w:sz w:val="26"/>
          <w:szCs w:val="26"/>
          <w:u w:val="single"/>
        </w:rPr>
        <w:t>name of victim</w:t>
      </w:r>
      <w:r w:rsidR="003B2D13" w:rsidRPr="006D6D7A">
        <w:rPr>
          <w:sz w:val="26"/>
          <w:szCs w:val="26"/>
        </w:rPr>
        <w:t>)</w:t>
      </w:r>
      <w:r w:rsidRPr="006D6D7A">
        <w:rPr>
          <w:sz w:val="26"/>
          <w:szCs w:val="26"/>
        </w:rPr>
        <w:t>.</w:t>
      </w:r>
    </w:p>
    <w:p w14:paraId="649A83D0" w14:textId="3B258882" w:rsidR="00D45476" w:rsidRPr="006D6D7A" w:rsidRDefault="00D45476" w:rsidP="00D207E2">
      <w:pPr>
        <w:pStyle w:val="NoSpacing"/>
        <w:tabs>
          <w:tab w:val="left" w:pos="900"/>
        </w:tabs>
        <w:spacing w:line="480" w:lineRule="auto"/>
        <w:ind w:left="900" w:hanging="450"/>
        <w:jc w:val="both"/>
        <w:rPr>
          <w:sz w:val="26"/>
          <w:szCs w:val="26"/>
        </w:rPr>
      </w:pPr>
      <w:r w:rsidRPr="006D6D7A">
        <w:rPr>
          <w:sz w:val="26"/>
          <w:szCs w:val="26"/>
        </w:rPr>
        <w:t>6.</w:t>
      </w:r>
      <w:r w:rsidRPr="006D6D7A">
        <w:rPr>
          <w:sz w:val="26"/>
          <w:szCs w:val="26"/>
        </w:rPr>
        <w:tab/>
        <w:t>The defendant acted intentionally.  This requires that the defendant acted with the mental purpose to (cause) (threaten to cause) bodily harm.</w:t>
      </w:r>
      <w:r w:rsidR="00A10847" w:rsidRPr="006D6D7A">
        <w:rPr>
          <w:sz w:val="26"/>
          <w:szCs w:val="26"/>
          <w:vertAlign w:val="superscript"/>
        </w:rPr>
        <w:t>9</w:t>
      </w:r>
      <w:r w:rsidRPr="006D6D7A">
        <w:rPr>
          <w:sz w:val="26"/>
          <w:szCs w:val="26"/>
        </w:rPr>
        <w:t xml:space="preserve"> </w:t>
      </w:r>
    </w:p>
    <w:p w14:paraId="043E3080" w14:textId="77777777" w:rsidR="00D207E2" w:rsidRPr="006D6D7A" w:rsidRDefault="00D207E2" w:rsidP="00D207E2">
      <w:pPr>
        <w:pStyle w:val="NoSpacing"/>
        <w:spacing w:line="480" w:lineRule="auto"/>
        <w:jc w:val="center"/>
        <w:rPr>
          <w:b/>
          <w:sz w:val="26"/>
          <w:szCs w:val="26"/>
        </w:rPr>
      </w:pPr>
      <w:r w:rsidRPr="006D6D7A">
        <w:rPr>
          <w:b/>
          <w:bCs/>
          <w:sz w:val="26"/>
          <w:szCs w:val="26"/>
        </w:rPr>
        <w:t>Deciding About Intent and Knowledge</w:t>
      </w:r>
    </w:p>
    <w:p w14:paraId="1ED50A00" w14:textId="58F0072E" w:rsidR="00D207E2" w:rsidRPr="00D207E2" w:rsidRDefault="00D207E2" w:rsidP="00D207E2">
      <w:pPr>
        <w:pStyle w:val="NoSpacing"/>
        <w:spacing w:line="480" w:lineRule="auto"/>
        <w:ind w:firstLine="450"/>
        <w:jc w:val="both"/>
        <w:rPr>
          <w:sz w:val="26"/>
          <w:szCs w:val="26"/>
          <w:vertAlign w:val="superscript"/>
        </w:rPr>
      </w:pPr>
      <w:r w:rsidRPr="006D6D7A">
        <w:rPr>
          <w:sz w:val="26"/>
          <w:szCs w:val="26"/>
        </w:rPr>
        <w:t>You cannot look into a person's mind to find intent and knowledge. Intent and knowledge must be found, if found at all, from the defendant's acts, words, and statements, if any, and from all the facts and circumstances in this case bearing upon intent and knowledge.</w:t>
      </w:r>
      <w:r w:rsidR="00A10847" w:rsidRPr="006D6D7A">
        <w:rPr>
          <w:sz w:val="26"/>
          <w:szCs w:val="26"/>
          <w:vertAlign w:val="superscript"/>
        </w:rPr>
        <w:t>10</w:t>
      </w:r>
    </w:p>
    <w:p w14:paraId="16BFAB77" w14:textId="77777777" w:rsidR="00D45476" w:rsidRPr="003B2D13" w:rsidRDefault="003B2D13" w:rsidP="005F6FA7">
      <w:pPr>
        <w:pStyle w:val="NoSpacing"/>
        <w:spacing w:line="480" w:lineRule="auto"/>
        <w:jc w:val="center"/>
        <w:rPr>
          <w:b/>
          <w:sz w:val="26"/>
          <w:szCs w:val="26"/>
        </w:rPr>
      </w:pPr>
      <w:r w:rsidRPr="003B2D13">
        <w:rPr>
          <w:b/>
          <w:sz w:val="26"/>
          <w:szCs w:val="26"/>
        </w:rPr>
        <w:t>Jury’</w:t>
      </w:r>
      <w:r w:rsidR="00D45476" w:rsidRPr="003B2D13">
        <w:rPr>
          <w:b/>
          <w:sz w:val="26"/>
          <w:szCs w:val="26"/>
        </w:rPr>
        <w:t>s Decision</w:t>
      </w:r>
    </w:p>
    <w:p w14:paraId="5221B318" w14:textId="77777777" w:rsidR="00D45476" w:rsidRPr="00D45476" w:rsidRDefault="00D45476" w:rsidP="005F6FA7">
      <w:pPr>
        <w:pStyle w:val="NoSpacing"/>
        <w:spacing w:line="480" w:lineRule="auto"/>
        <w:ind w:firstLine="450"/>
        <w:jc w:val="both"/>
        <w:rPr>
          <w:sz w:val="26"/>
          <w:szCs w:val="26"/>
        </w:rPr>
      </w:pPr>
      <w:r w:rsidRPr="00D45476">
        <w:rPr>
          <w:sz w:val="26"/>
          <w:szCs w:val="26"/>
        </w:rPr>
        <w:t>If you are satisfied beyond a reasonable doubt that all six elements of this offense have been proved, you should find the defendant guilty.</w:t>
      </w:r>
    </w:p>
    <w:p w14:paraId="71E088C4" w14:textId="77777777" w:rsidR="00D45476" w:rsidRDefault="00D45476" w:rsidP="005F6FA7">
      <w:pPr>
        <w:pStyle w:val="NoSpacing"/>
        <w:spacing w:line="480" w:lineRule="auto"/>
        <w:ind w:firstLine="450"/>
        <w:jc w:val="both"/>
        <w:rPr>
          <w:sz w:val="26"/>
          <w:szCs w:val="26"/>
        </w:rPr>
      </w:pPr>
      <w:r w:rsidRPr="00D45476">
        <w:rPr>
          <w:sz w:val="26"/>
          <w:szCs w:val="26"/>
        </w:rPr>
        <w:t>If you are not so satisfied, you must find the defendant not guilty.</w:t>
      </w:r>
    </w:p>
    <w:p w14:paraId="4DEBBA5E" w14:textId="7AF7F24A" w:rsidR="00D45476" w:rsidRDefault="00D45476" w:rsidP="00D45476">
      <w:pPr>
        <w:pStyle w:val="NoSpacing"/>
        <w:jc w:val="both"/>
        <w:rPr>
          <w:sz w:val="26"/>
          <w:szCs w:val="26"/>
        </w:rPr>
      </w:pPr>
    </w:p>
    <w:p w14:paraId="1517097B" w14:textId="2853FAD4" w:rsidR="00D1104F" w:rsidRDefault="00D1104F" w:rsidP="00D45476">
      <w:pPr>
        <w:pStyle w:val="NoSpacing"/>
        <w:jc w:val="both"/>
        <w:rPr>
          <w:sz w:val="26"/>
          <w:szCs w:val="26"/>
        </w:rPr>
      </w:pPr>
    </w:p>
    <w:p w14:paraId="38CA58E1" w14:textId="77777777" w:rsidR="00D1104F" w:rsidRDefault="00D1104F" w:rsidP="00D45476">
      <w:pPr>
        <w:pStyle w:val="NoSpacing"/>
        <w:jc w:val="both"/>
        <w:rPr>
          <w:sz w:val="26"/>
          <w:szCs w:val="26"/>
        </w:rPr>
      </w:pPr>
    </w:p>
    <w:p w14:paraId="67598907" w14:textId="41119A1D" w:rsidR="00D45476" w:rsidRDefault="00D45476" w:rsidP="00D45476">
      <w:pPr>
        <w:pStyle w:val="NoSpacing"/>
        <w:jc w:val="both"/>
        <w:rPr>
          <w:sz w:val="26"/>
          <w:szCs w:val="26"/>
        </w:rPr>
      </w:pPr>
    </w:p>
    <w:p w14:paraId="5B5227E5" w14:textId="13785EA6" w:rsidR="00031332" w:rsidRDefault="00031332" w:rsidP="00D45476">
      <w:pPr>
        <w:pStyle w:val="NoSpacing"/>
        <w:jc w:val="both"/>
        <w:rPr>
          <w:sz w:val="26"/>
          <w:szCs w:val="26"/>
        </w:rPr>
      </w:pPr>
    </w:p>
    <w:p w14:paraId="0BD3BCEE" w14:textId="77777777" w:rsidR="00031332" w:rsidRDefault="00031332" w:rsidP="00D45476">
      <w:pPr>
        <w:pStyle w:val="NoSpacing"/>
        <w:jc w:val="both"/>
        <w:rPr>
          <w:sz w:val="26"/>
          <w:szCs w:val="26"/>
        </w:rPr>
      </w:pPr>
      <w:bookmarkStart w:id="0" w:name="_GoBack"/>
      <w:bookmarkEnd w:id="0"/>
    </w:p>
    <w:p w14:paraId="70EACC6C" w14:textId="77777777" w:rsidR="00D45476" w:rsidRPr="00D45476" w:rsidRDefault="00D45476" w:rsidP="00D45476">
      <w:pPr>
        <w:pStyle w:val="NoSpacing"/>
        <w:jc w:val="both"/>
        <w:rPr>
          <w:b/>
          <w:sz w:val="22"/>
          <w:szCs w:val="22"/>
        </w:rPr>
      </w:pPr>
      <w:r w:rsidRPr="00D45476">
        <w:rPr>
          <w:b/>
          <w:sz w:val="22"/>
          <w:szCs w:val="22"/>
        </w:rPr>
        <w:t>COMMENT</w:t>
      </w:r>
    </w:p>
    <w:p w14:paraId="7AB1473D" w14:textId="77777777" w:rsidR="00D45476" w:rsidRPr="00D45476" w:rsidRDefault="00D45476" w:rsidP="00D45476">
      <w:pPr>
        <w:pStyle w:val="NoSpacing"/>
        <w:jc w:val="both"/>
        <w:rPr>
          <w:sz w:val="22"/>
          <w:szCs w:val="22"/>
        </w:rPr>
      </w:pPr>
    </w:p>
    <w:p w14:paraId="7E06E0AC" w14:textId="70C62839" w:rsidR="00D45476" w:rsidRPr="0007005C" w:rsidRDefault="003B2D13" w:rsidP="003B2D13">
      <w:pPr>
        <w:pStyle w:val="NoSpacing"/>
        <w:ind w:firstLine="450"/>
        <w:jc w:val="both"/>
        <w:rPr>
          <w:sz w:val="22"/>
          <w:szCs w:val="22"/>
        </w:rPr>
      </w:pPr>
      <w:r w:rsidRPr="0007005C">
        <w:rPr>
          <w:sz w:val="22"/>
          <w:szCs w:val="22"/>
        </w:rPr>
        <w:t>Wis JI-</w:t>
      </w:r>
      <w:r w:rsidR="0084286A" w:rsidRPr="0007005C">
        <w:rPr>
          <w:sz w:val="22"/>
          <w:szCs w:val="22"/>
        </w:rPr>
        <w:t>Criminal 1247</w:t>
      </w:r>
      <w:r w:rsidR="002F2B61">
        <w:rPr>
          <w:sz w:val="22"/>
          <w:szCs w:val="22"/>
        </w:rPr>
        <w:t>B</w:t>
      </w:r>
      <w:r w:rsidR="00D45476" w:rsidRPr="0007005C">
        <w:rPr>
          <w:sz w:val="22"/>
          <w:szCs w:val="22"/>
        </w:rPr>
        <w:t xml:space="preserve"> </w:t>
      </w:r>
      <w:r w:rsidR="00015D39">
        <w:rPr>
          <w:sz w:val="22"/>
          <w:szCs w:val="22"/>
        </w:rPr>
        <w:t xml:space="preserve">was </w:t>
      </w:r>
      <w:r w:rsidR="0084286A" w:rsidRPr="0007005C">
        <w:rPr>
          <w:sz w:val="22"/>
          <w:szCs w:val="22"/>
        </w:rPr>
        <w:t>appr</w:t>
      </w:r>
      <w:r w:rsidR="006D6D7A">
        <w:rPr>
          <w:sz w:val="22"/>
          <w:szCs w:val="22"/>
        </w:rPr>
        <w:t>oved by the Committee in April 2022</w:t>
      </w:r>
      <w:r w:rsidR="0084286A" w:rsidRPr="0007005C">
        <w:rPr>
          <w:sz w:val="22"/>
          <w:szCs w:val="22"/>
        </w:rPr>
        <w:t>.</w:t>
      </w:r>
    </w:p>
    <w:p w14:paraId="68E62DE1" w14:textId="77777777" w:rsidR="00D45476" w:rsidRPr="0007005C" w:rsidRDefault="00D45476" w:rsidP="00D45476">
      <w:pPr>
        <w:pStyle w:val="NoSpacing"/>
        <w:jc w:val="both"/>
        <w:rPr>
          <w:sz w:val="22"/>
          <w:szCs w:val="22"/>
        </w:rPr>
      </w:pPr>
    </w:p>
    <w:p w14:paraId="617AF344" w14:textId="5B7556B2" w:rsidR="00D45476" w:rsidRPr="0007005C" w:rsidRDefault="002F2B61" w:rsidP="002F2B61">
      <w:pPr>
        <w:pStyle w:val="NoSpacing"/>
        <w:ind w:firstLine="450"/>
        <w:jc w:val="both"/>
        <w:rPr>
          <w:sz w:val="22"/>
          <w:szCs w:val="22"/>
        </w:rPr>
      </w:pPr>
      <w:r>
        <w:rPr>
          <w:sz w:val="22"/>
          <w:szCs w:val="22"/>
        </w:rPr>
        <w:t>Section 940.204(3</w:t>
      </w:r>
      <w:r w:rsidR="0084286A" w:rsidRPr="0007005C">
        <w:rPr>
          <w:sz w:val="22"/>
          <w:szCs w:val="22"/>
        </w:rPr>
        <w:t>) was created by 2022 Wisconsin Act 209</w:t>
      </w:r>
      <w:r w:rsidR="008654C7">
        <w:rPr>
          <w:sz w:val="22"/>
          <w:szCs w:val="22"/>
        </w:rPr>
        <w:t xml:space="preserve"> [effective date: March 25, 2022]</w:t>
      </w:r>
      <w:r w:rsidR="0084286A" w:rsidRPr="0007005C">
        <w:rPr>
          <w:sz w:val="22"/>
          <w:szCs w:val="22"/>
        </w:rPr>
        <w:t>. T</w:t>
      </w:r>
      <w:r w:rsidR="005D0E49">
        <w:rPr>
          <w:sz w:val="22"/>
          <w:szCs w:val="22"/>
        </w:rPr>
        <w:t>his instruction</w:t>
      </w:r>
      <w:r w:rsidR="00D45476" w:rsidRPr="0007005C">
        <w:rPr>
          <w:sz w:val="22"/>
          <w:szCs w:val="22"/>
        </w:rPr>
        <w:t xml:space="preserve"> </w:t>
      </w:r>
      <w:r w:rsidR="0084286A" w:rsidRPr="0007005C">
        <w:rPr>
          <w:sz w:val="22"/>
          <w:szCs w:val="22"/>
        </w:rPr>
        <w:t xml:space="preserve">applies to battery or threat to </w:t>
      </w:r>
      <w:r>
        <w:rPr>
          <w:sz w:val="22"/>
          <w:szCs w:val="22"/>
        </w:rPr>
        <w:t xml:space="preserve">a health care provider and family members of </w:t>
      </w:r>
      <w:r w:rsidRPr="002F2B61">
        <w:rPr>
          <w:sz w:val="22"/>
          <w:szCs w:val="22"/>
        </w:rPr>
        <w:t>a health care provider</w:t>
      </w:r>
      <w:r w:rsidR="005D0E49">
        <w:rPr>
          <w:sz w:val="22"/>
          <w:szCs w:val="22"/>
        </w:rPr>
        <w:t xml:space="preserve">. </w:t>
      </w:r>
      <w:r w:rsidR="005D0E49" w:rsidRPr="005D0E49">
        <w:rPr>
          <w:sz w:val="22"/>
          <w:szCs w:val="22"/>
        </w:rPr>
        <w:t>For battery o</w:t>
      </w:r>
      <w:r>
        <w:rPr>
          <w:sz w:val="22"/>
          <w:szCs w:val="22"/>
        </w:rPr>
        <w:t>r threat to a staff member</w:t>
      </w:r>
      <w:r w:rsidRPr="002F2B61">
        <w:rPr>
          <w:sz w:val="22"/>
          <w:szCs w:val="22"/>
        </w:rPr>
        <w:t xml:space="preserve"> of a health care facility</w:t>
      </w:r>
      <w:r>
        <w:rPr>
          <w:sz w:val="22"/>
          <w:szCs w:val="22"/>
        </w:rPr>
        <w:t>, see Wis JI-Criminal 1247A</w:t>
      </w:r>
      <w:r w:rsidR="005D0E49" w:rsidRPr="005D0E49">
        <w:rPr>
          <w:sz w:val="22"/>
          <w:szCs w:val="22"/>
        </w:rPr>
        <w:t>.</w:t>
      </w:r>
    </w:p>
    <w:p w14:paraId="7114F66E" w14:textId="2600A006" w:rsidR="00F8359E" w:rsidRPr="0007005C" w:rsidRDefault="00F8359E" w:rsidP="0047694F">
      <w:pPr>
        <w:pStyle w:val="NoSpacing"/>
        <w:tabs>
          <w:tab w:val="left" w:pos="900"/>
        </w:tabs>
        <w:jc w:val="both"/>
        <w:rPr>
          <w:sz w:val="22"/>
          <w:szCs w:val="22"/>
        </w:rPr>
      </w:pPr>
    </w:p>
    <w:p w14:paraId="23B7429E" w14:textId="6D664DB3" w:rsidR="002C3D5D" w:rsidRPr="00432261" w:rsidRDefault="00CB00DE" w:rsidP="00432261">
      <w:pPr>
        <w:pStyle w:val="NoSpacing"/>
        <w:numPr>
          <w:ilvl w:val="0"/>
          <w:numId w:val="1"/>
        </w:numPr>
        <w:tabs>
          <w:tab w:val="left" w:pos="900"/>
        </w:tabs>
        <w:ind w:left="0" w:firstLine="450"/>
        <w:jc w:val="both"/>
        <w:rPr>
          <w:sz w:val="22"/>
          <w:szCs w:val="22"/>
        </w:rPr>
      </w:pPr>
      <w:r w:rsidRPr="0007005C">
        <w:rPr>
          <w:sz w:val="22"/>
          <w:szCs w:val="22"/>
        </w:rPr>
        <w:t>Neither the summary of the offense here nor the third element contain the alternative “or should have known” that is provide</w:t>
      </w:r>
      <w:r w:rsidR="00BB566D">
        <w:rPr>
          <w:sz w:val="22"/>
          <w:szCs w:val="22"/>
        </w:rPr>
        <w:t>d in the statute [see subsec. (3</w:t>
      </w:r>
      <w:r w:rsidRPr="0007005C">
        <w:rPr>
          <w:sz w:val="22"/>
          <w:szCs w:val="22"/>
        </w:rPr>
        <w:t xml:space="preserve">)(a)].  The Committee believed the phrase would be inapplicable in virtually all cases because a connection is required between the </w:t>
      </w:r>
      <w:r w:rsidR="00432261">
        <w:rPr>
          <w:sz w:val="22"/>
          <w:szCs w:val="22"/>
        </w:rPr>
        <w:t>act or threat and the health care provider’s</w:t>
      </w:r>
      <w:r w:rsidRPr="0007005C">
        <w:rPr>
          <w:sz w:val="22"/>
          <w:szCs w:val="22"/>
        </w:rPr>
        <w:t xml:space="preserve"> offici</w:t>
      </w:r>
      <w:r w:rsidR="00840977">
        <w:rPr>
          <w:sz w:val="22"/>
          <w:szCs w:val="22"/>
        </w:rPr>
        <w:t>al capacity.  That is, the act or threat</w:t>
      </w:r>
      <w:r w:rsidR="00432261">
        <w:rPr>
          <w:sz w:val="22"/>
          <w:szCs w:val="22"/>
        </w:rPr>
        <w:t xml:space="preserve"> must be committed </w:t>
      </w:r>
      <w:r w:rsidR="00432261" w:rsidRPr="00432261">
        <w:rPr>
          <w:sz w:val="22"/>
          <w:szCs w:val="22"/>
        </w:rPr>
        <w:t xml:space="preserve">in response to an action </w:t>
      </w:r>
      <w:r w:rsidR="00432261" w:rsidRPr="00432261">
        <w:rPr>
          <w:sz w:val="22"/>
          <w:szCs w:val="22"/>
        </w:rPr>
        <w:lastRenderedPageBreak/>
        <w:t>by the health care provider acting in his or her capacity as a health care provider.</w:t>
      </w:r>
      <w:r w:rsidR="00432261">
        <w:rPr>
          <w:sz w:val="22"/>
          <w:szCs w:val="22"/>
        </w:rPr>
        <w:t xml:space="preserve"> </w:t>
      </w:r>
      <w:r w:rsidRPr="00432261">
        <w:rPr>
          <w:sz w:val="22"/>
          <w:szCs w:val="22"/>
        </w:rPr>
        <w:t xml:space="preserve">In </w:t>
      </w:r>
      <w:r w:rsidR="00432261" w:rsidRPr="00432261">
        <w:rPr>
          <w:sz w:val="22"/>
          <w:szCs w:val="22"/>
        </w:rPr>
        <w:t>this</w:t>
      </w:r>
      <w:r w:rsidRPr="00432261">
        <w:rPr>
          <w:sz w:val="22"/>
          <w:szCs w:val="22"/>
        </w:rPr>
        <w:t xml:space="preserve"> situation, it may be confusing to instruct the jury on the “should have known”</w:t>
      </w:r>
      <w:r w:rsidR="00636A11" w:rsidRPr="00432261">
        <w:rPr>
          <w:sz w:val="22"/>
          <w:szCs w:val="22"/>
        </w:rPr>
        <w:t xml:space="preserve"> alternative. </w:t>
      </w:r>
      <w:r w:rsidRPr="00432261">
        <w:rPr>
          <w:sz w:val="22"/>
          <w:szCs w:val="22"/>
        </w:rPr>
        <w:t>Of course, if that alternative fits the facts of the case, it should be added to the instruction.</w:t>
      </w:r>
    </w:p>
    <w:p w14:paraId="488372A0" w14:textId="77777777" w:rsidR="002C3D5D" w:rsidRPr="0007005C" w:rsidRDefault="002C3D5D" w:rsidP="002C3D5D">
      <w:pPr>
        <w:pStyle w:val="ListParagraph"/>
        <w:rPr>
          <w:sz w:val="22"/>
          <w:szCs w:val="22"/>
        </w:rPr>
      </w:pPr>
    </w:p>
    <w:p w14:paraId="75D14C0C" w14:textId="77777777" w:rsidR="002C3D5D" w:rsidRPr="0007005C" w:rsidRDefault="00D45476" w:rsidP="00D45476">
      <w:pPr>
        <w:pStyle w:val="NoSpacing"/>
        <w:numPr>
          <w:ilvl w:val="0"/>
          <w:numId w:val="1"/>
        </w:numPr>
        <w:tabs>
          <w:tab w:val="left" w:pos="900"/>
        </w:tabs>
        <w:ind w:left="0" w:firstLine="450"/>
        <w:jc w:val="both"/>
        <w:rPr>
          <w:sz w:val="22"/>
          <w:szCs w:val="22"/>
        </w:rPr>
      </w:pPr>
      <w:r w:rsidRPr="0007005C">
        <w:rPr>
          <w:sz w:val="22"/>
          <w:szCs w:val="22"/>
        </w:rPr>
        <w:t>This is the definition provided in § 939.22(4).</w:t>
      </w:r>
    </w:p>
    <w:p w14:paraId="795F6616" w14:textId="77777777" w:rsidR="002C3D5D" w:rsidRPr="0007005C" w:rsidRDefault="002C3D5D" w:rsidP="002C3D5D">
      <w:pPr>
        <w:pStyle w:val="ListParagraph"/>
        <w:rPr>
          <w:sz w:val="22"/>
          <w:szCs w:val="22"/>
        </w:rPr>
      </w:pPr>
    </w:p>
    <w:p w14:paraId="5BDC5267" w14:textId="6B08D95A" w:rsidR="00D45476" w:rsidRPr="0007005C" w:rsidRDefault="00D45476" w:rsidP="00D45476">
      <w:pPr>
        <w:pStyle w:val="NoSpacing"/>
        <w:numPr>
          <w:ilvl w:val="0"/>
          <w:numId w:val="1"/>
        </w:numPr>
        <w:tabs>
          <w:tab w:val="left" w:pos="900"/>
        </w:tabs>
        <w:ind w:left="0" w:firstLine="450"/>
        <w:jc w:val="both"/>
        <w:rPr>
          <w:sz w:val="22"/>
          <w:szCs w:val="22"/>
        </w:rPr>
      </w:pPr>
      <w:r w:rsidRPr="0007005C">
        <w:rPr>
          <w:sz w:val="22"/>
          <w:szCs w:val="22"/>
        </w:rPr>
        <w:t>The Committee concluded that the si</w:t>
      </w:r>
      <w:r w:rsidR="001C6684" w:rsidRPr="0007005C">
        <w:rPr>
          <w:sz w:val="22"/>
          <w:szCs w:val="22"/>
        </w:rPr>
        <w:t>mple “substantial factor”</w:t>
      </w:r>
      <w:r w:rsidRPr="0007005C">
        <w:rPr>
          <w:sz w:val="22"/>
          <w:szCs w:val="22"/>
        </w:rPr>
        <w:t xml:space="preserve"> definition of cause should</w:t>
      </w:r>
      <w:r w:rsidR="00636A11">
        <w:rPr>
          <w:sz w:val="22"/>
          <w:szCs w:val="22"/>
        </w:rPr>
        <w:t xml:space="preserve"> be sufficient for most cases. </w:t>
      </w:r>
      <w:r w:rsidRPr="0007005C">
        <w:rPr>
          <w:sz w:val="22"/>
          <w:szCs w:val="22"/>
        </w:rPr>
        <w:t>Where there is evidence of more than one possible cause, something like the following might be added:</w:t>
      </w:r>
    </w:p>
    <w:p w14:paraId="2E520F5D" w14:textId="77777777" w:rsidR="00D45476" w:rsidRPr="0007005C" w:rsidRDefault="00D45476" w:rsidP="00D45476">
      <w:pPr>
        <w:pStyle w:val="NoSpacing"/>
        <w:jc w:val="both"/>
        <w:rPr>
          <w:sz w:val="22"/>
          <w:szCs w:val="22"/>
        </w:rPr>
      </w:pPr>
    </w:p>
    <w:p w14:paraId="1D242360" w14:textId="77777777" w:rsidR="00D45476" w:rsidRPr="0007005C" w:rsidRDefault="00D45476" w:rsidP="002C3D5D">
      <w:pPr>
        <w:pStyle w:val="NoSpacing"/>
        <w:ind w:firstLine="450"/>
        <w:jc w:val="both"/>
        <w:rPr>
          <w:sz w:val="22"/>
          <w:szCs w:val="22"/>
        </w:rPr>
      </w:pPr>
      <w:r w:rsidRPr="0007005C">
        <w:rPr>
          <w:sz w:val="22"/>
          <w:szCs w:val="22"/>
        </w:rPr>
        <w:t>There may be more than one cause of bodily harm.  The act of one person alone might produce it, or the acts of two more persons might jointly produce it.</w:t>
      </w:r>
    </w:p>
    <w:p w14:paraId="0E6DE362" w14:textId="77777777" w:rsidR="00D45476" w:rsidRPr="0007005C" w:rsidRDefault="00D45476" w:rsidP="00D45476">
      <w:pPr>
        <w:pStyle w:val="NoSpacing"/>
        <w:jc w:val="both"/>
        <w:rPr>
          <w:sz w:val="22"/>
          <w:szCs w:val="22"/>
        </w:rPr>
      </w:pPr>
    </w:p>
    <w:p w14:paraId="28B8E159" w14:textId="77777777" w:rsidR="00D45476" w:rsidRPr="0007005C" w:rsidRDefault="003B2D13" w:rsidP="00D45476">
      <w:pPr>
        <w:pStyle w:val="NoSpacing"/>
        <w:jc w:val="both"/>
        <w:rPr>
          <w:sz w:val="22"/>
          <w:szCs w:val="22"/>
        </w:rPr>
      </w:pPr>
      <w:r w:rsidRPr="0007005C">
        <w:rPr>
          <w:sz w:val="22"/>
          <w:szCs w:val="22"/>
        </w:rPr>
        <w:t>Also see Wis JI-</w:t>
      </w:r>
      <w:r w:rsidR="00D45476" w:rsidRPr="0007005C">
        <w:rPr>
          <w:sz w:val="22"/>
          <w:szCs w:val="22"/>
        </w:rPr>
        <w:t>Criminal 901, Cause.</w:t>
      </w:r>
    </w:p>
    <w:p w14:paraId="57A9D664" w14:textId="77777777" w:rsidR="002C3D5D" w:rsidRPr="0007005C" w:rsidRDefault="002C3D5D" w:rsidP="00D45476">
      <w:pPr>
        <w:pStyle w:val="NoSpacing"/>
        <w:jc w:val="both"/>
        <w:rPr>
          <w:sz w:val="22"/>
          <w:szCs w:val="22"/>
        </w:rPr>
      </w:pPr>
    </w:p>
    <w:p w14:paraId="2992A9F9" w14:textId="4FEE96A2" w:rsidR="00D45476" w:rsidRPr="00D207E2" w:rsidRDefault="00D45476" w:rsidP="00D207E2">
      <w:pPr>
        <w:pStyle w:val="NoSpacing"/>
        <w:numPr>
          <w:ilvl w:val="0"/>
          <w:numId w:val="1"/>
        </w:numPr>
        <w:tabs>
          <w:tab w:val="left" w:pos="900"/>
        </w:tabs>
        <w:ind w:left="0" w:firstLine="450"/>
        <w:jc w:val="both"/>
        <w:rPr>
          <w:sz w:val="22"/>
          <w:szCs w:val="22"/>
        </w:rPr>
      </w:pPr>
      <w:r w:rsidRPr="0007005C">
        <w:rPr>
          <w:sz w:val="22"/>
          <w:szCs w:val="22"/>
        </w:rPr>
        <w:t>This definition is based</w:t>
      </w:r>
      <w:r w:rsidR="001C6684" w:rsidRPr="0007005C">
        <w:rPr>
          <w:sz w:val="22"/>
          <w:szCs w:val="22"/>
        </w:rPr>
        <w:t xml:space="preserve"> on one of the descriptions of “true threat”</w:t>
      </w:r>
      <w:r w:rsidRPr="0007005C">
        <w:rPr>
          <w:sz w:val="22"/>
          <w:szCs w:val="22"/>
        </w:rPr>
        <w:t xml:space="preserve"> in </w:t>
      </w:r>
      <w:r w:rsidRPr="0007005C">
        <w:rPr>
          <w:sz w:val="22"/>
          <w:szCs w:val="22"/>
          <w:u w:val="single"/>
        </w:rPr>
        <w:t>State v. Perkins</w:t>
      </w:r>
      <w:r w:rsidRPr="0007005C">
        <w:rPr>
          <w:sz w:val="22"/>
          <w:szCs w:val="22"/>
        </w:rPr>
        <w:t>, 2001 WI 46, ¶28, 2</w:t>
      </w:r>
      <w:r w:rsidR="00D207E2">
        <w:rPr>
          <w:sz w:val="22"/>
          <w:szCs w:val="22"/>
        </w:rPr>
        <w:t>43 Wis.2d 141, 626 N.W.</w:t>
      </w:r>
      <w:r w:rsidR="00D207E2" w:rsidRPr="006D6D7A">
        <w:rPr>
          <w:sz w:val="22"/>
          <w:szCs w:val="22"/>
        </w:rPr>
        <w:t xml:space="preserve">2d 762.  In </w:t>
      </w:r>
      <w:r w:rsidR="00D207E2" w:rsidRPr="006D6D7A">
        <w:rPr>
          <w:sz w:val="22"/>
          <w:szCs w:val="22"/>
          <w:u w:val="single"/>
        </w:rPr>
        <w:t>Perkins</w:t>
      </w:r>
      <w:r w:rsidR="00692843">
        <w:rPr>
          <w:sz w:val="22"/>
          <w:szCs w:val="22"/>
        </w:rPr>
        <w:t>, the court held that “O</w:t>
      </w:r>
      <w:r w:rsidR="00D207E2" w:rsidRPr="006D6D7A">
        <w:rPr>
          <w:sz w:val="22"/>
          <w:szCs w:val="22"/>
        </w:rPr>
        <w:t xml:space="preserve">nly a ‘true threat’ is constitutionally punishable under statutes criminalizing threats.” Id. at </w:t>
      </w:r>
      <w:r w:rsidR="00D207E2" w:rsidRPr="006D6D7A">
        <w:rPr>
          <w:rFonts w:eastAsiaTheme="minorHAnsi"/>
          <w:sz w:val="22"/>
          <w:szCs w:val="22"/>
        </w:rPr>
        <w:t xml:space="preserve">¶ 17. </w:t>
      </w:r>
      <w:r w:rsidR="00D207E2" w:rsidRPr="006D6D7A">
        <w:rPr>
          <w:sz w:val="22"/>
          <w:szCs w:val="22"/>
          <w:u w:val="single"/>
        </w:rPr>
        <w:t>Perkins</w:t>
      </w:r>
      <w:r w:rsidR="00D207E2" w:rsidRPr="006D6D7A">
        <w:rPr>
          <w:sz w:val="22"/>
          <w:szCs w:val="22"/>
        </w:rPr>
        <w:t xml:space="preserve"> additionally held</w:t>
      </w:r>
      <w:r w:rsidRPr="006D6D7A">
        <w:rPr>
          <w:sz w:val="22"/>
          <w:szCs w:val="22"/>
        </w:rPr>
        <w:t xml:space="preserve"> that a jury instruction for a threat to a judge in violation of § 940.203 was an incomplete statement of the</w:t>
      </w:r>
      <w:r w:rsidR="001C6684" w:rsidRPr="006D6D7A">
        <w:rPr>
          <w:sz w:val="22"/>
          <w:szCs w:val="22"/>
        </w:rPr>
        <w:t xml:space="preserve"> law</w:t>
      </w:r>
      <w:r w:rsidR="001C6684" w:rsidRPr="00D207E2">
        <w:rPr>
          <w:sz w:val="22"/>
          <w:szCs w:val="22"/>
        </w:rPr>
        <w:t xml:space="preserve"> because it did not define “threat” as “true threat.”</w:t>
      </w:r>
      <w:r w:rsidRPr="00D207E2">
        <w:rPr>
          <w:sz w:val="22"/>
          <w:szCs w:val="22"/>
        </w:rPr>
        <w:t xml:space="preserve">  This cre</w:t>
      </w:r>
      <w:r w:rsidR="001C6684" w:rsidRPr="00D207E2">
        <w:rPr>
          <w:sz w:val="22"/>
          <w:szCs w:val="22"/>
        </w:rPr>
        <w:t>ated an unacceptable risk that “</w:t>
      </w:r>
      <w:r w:rsidRPr="00D207E2">
        <w:rPr>
          <w:sz w:val="22"/>
          <w:szCs w:val="22"/>
        </w:rPr>
        <w:t xml:space="preserve">the jury may have used </w:t>
      </w:r>
      <w:r w:rsidR="001C6684" w:rsidRPr="00D207E2">
        <w:rPr>
          <w:sz w:val="22"/>
          <w:szCs w:val="22"/>
        </w:rPr>
        <w:t>the common definition of ‘threat,’</w:t>
      </w:r>
      <w:r w:rsidRPr="00D207E2">
        <w:rPr>
          <w:sz w:val="22"/>
          <w:szCs w:val="22"/>
        </w:rPr>
        <w:t xml:space="preserve"> </w:t>
      </w:r>
      <w:r w:rsidR="001C6684" w:rsidRPr="00D207E2">
        <w:rPr>
          <w:sz w:val="22"/>
          <w:szCs w:val="22"/>
        </w:rPr>
        <w:t>thereby violating the defendant’</w:t>
      </w:r>
      <w:r w:rsidRPr="00D207E2">
        <w:rPr>
          <w:sz w:val="22"/>
          <w:szCs w:val="22"/>
        </w:rPr>
        <w:t>s constitutio</w:t>
      </w:r>
      <w:r w:rsidR="001C6684" w:rsidRPr="00D207E2">
        <w:rPr>
          <w:sz w:val="22"/>
          <w:szCs w:val="22"/>
        </w:rPr>
        <w:t>nal right to freedom of speech.”</w:t>
      </w:r>
      <w:r w:rsidRPr="00D207E2">
        <w:rPr>
          <w:sz w:val="22"/>
          <w:szCs w:val="22"/>
        </w:rPr>
        <w:t xml:space="preserve">  2001 W</w:t>
      </w:r>
      <w:r w:rsidR="001C6684" w:rsidRPr="00D207E2">
        <w:rPr>
          <w:sz w:val="22"/>
          <w:szCs w:val="22"/>
        </w:rPr>
        <w:t>I 46, ¶43.  The court stated:  “</w:t>
      </w:r>
      <w:r w:rsidRPr="00D207E2">
        <w:rPr>
          <w:sz w:val="22"/>
          <w:szCs w:val="22"/>
        </w:rPr>
        <w:t>The common definition of threat is an expression of an intention to inflict injury on another.  The definition of threat for the purposes of a statute criminalizing threate</w:t>
      </w:r>
      <w:r w:rsidR="001C6684" w:rsidRPr="00D207E2">
        <w:rPr>
          <w:sz w:val="22"/>
          <w:szCs w:val="22"/>
        </w:rPr>
        <w:t>ning language is much narrower.”</w:t>
      </w:r>
      <w:r w:rsidRPr="00D207E2">
        <w:rPr>
          <w:sz w:val="22"/>
          <w:szCs w:val="22"/>
        </w:rPr>
        <w:t xml:space="preserve">  2001 WI 46, ¶43.</w:t>
      </w:r>
    </w:p>
    <w:p w14:paraId="7A8F81A8" w14:textId="77777777" w:rsidR="00D45476" w:rsidRPr="0007005C" w:rsidRDefault="00D45476" w:rsidP="00D45476">
      <w:pPr>
        <w:pStyle w:val="NoSpacing"/>
        <w:jc w:val="both"/>
        <w:rPr>
          <w:sz w:val="22"/>
          <w:szCs w:val="22"/>
        </w:rPr>
      </w:pPr>
    </w:p>
    <w:p w14:paraId="6E6DFFD1" w14:textId="77777777" w:rsidR="00D45476" w:rsidRPr="0007005C" w:rsidRDefault="00D45476" w:rsidP="00947E67">
      <w:pPr>
        <w:pStyle w:val="NoSpacing"/>
        <w:ind w:left="450" w:right="450"/>
        <w:jc w:val="both"/>
        <w:rPr>
          <w:sz w:val="22"/>
          <w:szCs w:val="22"/>
        </w:rPr>
      </w:pPr>
      <w:r w:rsidRPr="0007005C">
        <w:rPr>
          <w:sz w:val="22"/>
          <w:szCs w:val="22"/>
        </w:rPr>
        <w:t>The following is t</w:t>
      </w:r>
      <w:r w:rsidR="001C6684" w:rsidRPr="0007005C">
        <w:rPr>
          <w:sz w:val="22"/>
          <w:szCs w:val="22"/>
        </w:rPr>
        <w:t>he most complete definition of “true threat”</w:t>
      </w:r>
      <w:r w:rsidRPr="0007005C">
        <w:rPr>
          <w:sz w:val="22"/>
          <w:szCs w:val="22"/>
        </w:rPr>
        <w:t xml:space="preserve"> offered by the court in </w:t>
      </w:r>
      <w:r w:rsidRPr="0007005C">
        <w:rPr>
          <w:sz w:val="22"/>
          <w:szCs w:val="22"/>
          <w:u w:val="single"/>
        </w:rPr>
        <w:t>Perkins</w:t>
      </w:r>
      <w:r w:rsidRPr="0007005C">
        <w:rPr>
          <w:sz w:val="22"/>
          <w:szCs w:val="22"/>
        </w:rPr>
        <w:t>:</w:t>
      </w:r>
    </w:p>
    <w:p w14:paraId="0CFBE373" w14:textId="77777777" w:rsidR="00D45476" w:rsidRPr="0007005C" w:rsidRDefault="00D45476" w:rsidP="00947E67">
      <w:pPr>
        <w:pStyle w:val="NoSpacing"/>
        <w:ind w:left="450" w:right="450"/>
        <w:jc w:val="both"/>
        <w:rPr>
          <w:sz w:val="22"/>
          <w:szCs w:val="22"/>
        </w:rPr>
      </w:pPr>
    </w:p>
    <w:p w14:paraId="36516342" w14:textId="77777777" w:rsidR="00D45476" w:rsidRPr="0007005C" w:rsidRDefault="00D45476" w:rsidP="00947E67">
      <w:pPr>
        <w:pStyle w:val="NoSpacing"/>
        <w:ind w:left="450" w:right="450"/>
        <w:jc w:val="both"/>
        <w:rPr>
          <w:sz w:val="22"/>
          <w:szCs w:val="22"/>
        </w:rPr>
      </w:pPr>
      <w:r w:rsidRPr="0007005C">
        <w:rPr>
          <w:sz w:val="22"/>
          <w:szCs w:val="22"/>
        </w:rPr>
        <w:t>A true threat is a statement that a speaker would reasonably foresee that a listener would reasonably interpret as a serious expression of a purpose to inflict harm, as distinguished from hyperbole, jest, innocuous talk, expressions of political views, or other similarly protected speech.  It is not necessary that the speaker have the ability to carry out the threat.  In determining whether a statement is a true threat, the totality of the circumstances must be considered.  2001 WI 46, ¶29.</w:t>
      </w:r>
    </w:p>
    <w:p w14:paraId="6B59A275" w14:textId="77777777" w:rsidR="00D45476" w:rsidRPr="0007005C" w:rsidRDefault="00D45476" w:rsidP="00D45476">
      <w:pPr>
        <w:pStyle w:val="NoSpacing"/>
        <w:jc w:val="both"/>
        <w:rPr>
          <w:sz w:val="22"/>
          <w:szCs w:val="22"/>
        </w:rPr>
      </w:pPr>
    </w:p>
    <w:p w14:paraId="68BA4748" w14:textId="77777777" w:rsidR="00D45476" w:rsidRPr="0007005C" w:rsidRDefault="00D45476" w:rsidP="00D45476">
      <w:pPr>
        <w:pStyle w:val="NoSpacing"/>
        <w:jc w:val="both"/>
        <w:rPr>
          <w:sz w:val="22"/>
          <w:szCs w:val="22"/>
        </w:rPr>
      </w:pPr>
      <w:r w:rsidRPr="0007005C">
        <w:rPr>
          <w:sz w:val="22"/>
          <w:szCs w:val="22"/>
        </w:rPr>
        <w:t xml:space="preserve">The Committee concluded that the definition in the instruction is equivalent in content and will be more understandable to the jury.  In a case decided at the same time </w:t>
      </w:r>
      <w:r w:rsidR="00234BE9" w:rsidRPr="0007005C">
        <w:rPr>
          <w:sz w:val="22"/>
          <w:szCs w:val="22"/>
        </w:rPr>
        <w:t>as Perkins</w:t>
      </w:r>
      <w:r w:rsidRPr="0007005C">
        <w:rPr>
          <w:sz w:val="22"/>
          <w:szCs w:val="22"/>
        </w:rPr>
        <w:t xml:space="preserve">, the court used a definition much like the one used in the instruction.  See </w:t>
      </w:r>
      <w:r w:rsidRPr="0007005C">
        <w:rPr>
          <w:sz w:val="22"/>
          <w:szCs w:val="22"/>
          <w:u w:val="single"/>
        </w:rPr>
        <w:t>State v. A.S.</w:t>
      </w:r>
      <w:r w:rsidRPr="0007005C">
        <w:rPr>
          <w:sz w:val="22"/>
          <w:szCs w:val="22"/>
        </w:rPr>
        <w:t>, 2001 WI 48, ¶23, 243 Wis.2d 173, 626 N.W.2d 712.</w:t>
      </w:r>
    </w:p>
    <w:p w14:paraId="4D4D7AD5" w14:textId="77777777" w:rsidR="00D45476" w:rsidRPr="0007005C" w:rsidRDefault="00D45476" w:rsidP="00D45476">
      <w:pPr>
        <w:pStyle w:val="NoSpacing"/>
        <w:jc w:val="both"/>
        <w:rPr>
          <w:sz w:val="22"/>
          <w:szCs w:val="22"/>
        </w:rPr>
      </w:pPr>
    </w:p>
    <w:p w14:paraId="306E29E0" w14:textId="77777777" w:rsidR="00D45476" w:rsidRPr="0007005C" w:rsidRDefault="00D45476" w:rsidP="00947E67">
      <w:pPr>
        <w:pStyle w:val="NoSpacing"/>
        <w:ind w:firstLine="450"/>
        <w:jc w:val="both"/>
        <w:rPr>
          <w:sz w:val="22"/>
          <w:szCs w:val="22"/>
        </w:rPr>
      </w:pPr>
      <w:r w:rsidRPr="0007005C">
        <w:rPr>
          <w:sz w:val="22"/>
          <w:szCs w:val="22"/>
          <w:u w:val="single"/>
        </w:rPr>
        <w:t>Perkins</w:t>
      </w:r>
      <w:r w:rsidRPr="0007005C">
        <w:rPr>
          <w:sz w:val="22"/>
          <w:szCs w:val="22"/>
        </w:rPr>
        <w:t xml:space="preserve"> involved an orally communicated threat.  The instruction is drafted more broadly to be applicable whether the threat is communicated orally, in writing, or by conduct.</w:t>
      </w:r>
    </w:p>
    <w:p w14:paraId="0D4950D1" w14:textId="77777777" w:rsidR="00947E67" w:rsidRPr="0007005C" w:rsidRDefault="00947E67" w:rsidP="00947E67">
      <w:pPr>
        <w:pStyle w:val="NoSpacing"/>
        <w:ind w:firstLine="450"/>
        <w:jc w:val="both"/>
        <w:rPr>
          <w:sz w:val="22"/>
          <w:szCs w:val="22"/>
        </w:rPr>
      </w:pPr>
    </w:p>
    <w:p w14:paraId="50AE1E9E" w14:textId="77777777" w:rsidR="00947E67" w:rsidRPr="0007005C" w:rsidRDefault="00947E67" w:rsidP="00947E67">
      <w:pPr>
        <w:tabs>
          <w:tab w:val="left" w:pos="900"/>
        </w:tabs>
        <w:autoSpaceDE/>
        <w:autoSpaceDN/>
        <w:adjustRightInd/>
        <w:ind w:firstLine="450"/>
        <w:jc w:val="both"/>
        <w:rPr>
          <w:sz w:val="22"/>
          <w:szCs w:val="22"/>
        </w:rPr>
      </w:pPr>
      <w:r w:rsidRPr="0007005C">
        <w:rPr>
          <w:sz w:val="22"/>
          <w:szCs w:val="22"/>
        </w:rPr>
        <w:t xml:space="preserve">In </w:t>
      </w:r>
      <w:r w:rsidRPr="0007005C">
        <w:rPr>
          <w:sz w:val="22"/>
          <w:szCs w:val="22"/>
          <w:u w:val="single"/>
        </w:rPr>
        <w:t>Elonis v. United States</w:t>
      </w:r>
      <w:r w:rsidRPr="0007005C">
        <w:rPr>
          <w:sz w:val="22"/>
          <w:szCs w:val="22"/>
        </w:rPr>
        <w:t xml:space="preserve">, 575 U.S. 723, 135 S.Ct. 2001 (2015), the United States Supreme Court interpreted a federal statute making it a crime to transmit in interstate commerce “any communication containing any threat … to injure the person of another.”  18 USC § 875(c).  Because the statute was not clear as to what mental state was required, there was a split in the federal circuits on that issue. Elonis was convicted under instructions that required the jury to find that he communicated what a reasonable person would regard as a threat. The Supreme Court concluded that this was not sufficient: “Federal criminal liability generally does not turn solely on the results of an act without considering the defendant’s mental </w:t>
      </w:r>
      <w:r w:rsidRPr="0007005C">
        <w:rPr>
          <w:sz w:val="22"/>
          <w:szCs w:val="22"/>
        </w:rPr>
        <w:lastRenderedPageBreak/>
        <w:t xml:space="preserve">state.”  The decision did not specify what mental state is required. The decision was based on constitutional requirements – it was a matter of interpreting a federal statute – so it has no direct impact on Wisconsin law.  The committee concluded that the definition of “true threat” used in this instruction is sufficient to meet any requirements that may be implied from the decision in </w:t>
      </w:r>
      <w:r w:rsidRPr="0007005C">
        <w:rPr>
          <w:sz w:val="22"/>
          <w:szCs w:val="22"/>
          <w:u w:val="single"/>
        </w:rPr>
        <w:t>Elonis</w:t>
      </w:r>
      <w:r w:rsidRPr="0007005C">
        <w:rPr>
          <w:sz w:val="22"/>
          <w:szCs w:val="22"/>
        </w:rPr>
        <w:t>, especially in light of element 6 which requires that “the defendant acted with the mental purpose to threaten bodily harm” to another…</w:t>
      </w:r>
    </w:p>
    <w:p w14:paraId="42D9722F" w14:textId="77777777" w:rsidR="00947E67" w:rsidRPr="0007005C" w:rsidRDefault="00947E67" w:rsidP="00947E67">
      <w:pPr>
        <w:pStyle w:val="NoSpacing"/>
        <w:jc w:val="both"/>
        <w:rPr>
          <w:sz w:val="22"/>
          <w:szCs w:val="22"/>
        </w:rPr>
      </w:pPr>
    </w:p>
    <w:p w14:paraId="63E00815" w14:textId="507B9608" w:rsidR="007B316B" w:rsidRPr="00991CAD" w:rsidRDefault="007B316B" w:rsidP="007B316B">
      <w:pPr>
        <w:pStyle w:val="NoSpacing"/>
        <w:numPr>
          <w:ilvl w:val="0"/>
          <w:numId w:val="1"/>
        </w:numPr>
        <w:tabs>
          <w:tab w:val="left" w:pos="900"/>
        </w:tabs>
        <w:ind w:left="0" w:firstLine="450"/>
        <w:jc w:val="both"/>
        <w:rPr>
          <w:sz w:val="22"/>
          <w:szCs w:val="22"/>
        </w:rPr>
      </w:pPr>
      <w:r w:rsidRPr="00991CAD">
        <w:rPr>
          <w:sz w:val="22"/>
          <w:szCs w:val="22"/>
        </w:rPr>
        <w:t xml:space="preserve">In the Committee’s judgement, the jury may be told, for example, that a </w:t>
      </w:r>
      <w:r w:rsidR="00991CAD">
        <w:rPr>
          <w:sz w:val="22"/>
          <w:szCs w:val="22"/>
        </w:rPr>
        <w:t>nurse</w:t>
      </w:r>
      <w:r w:rsidRPr="00991CAD">
        <w:rPr>
          <w:sz w:val="22"/>
          <w:szCs w:val="22"/>
        </w:rPr>
        <w:t xml:space="preserve"> is a health care provider. It is still for the jury to be satisfied that, in the example, th</w:t>
      </w:r>
      <w:r w:rsidR="008C69F9">
        <w:rPr>
          <w:sz w:val="22"/>
          <w:szCs w:val="22"/>
        </w:rPr>
        <w:t>e victim was a nurse</w:t>
      </w:r>
      <w:r w:rsidRPr="00991CAD">
        <w:rPr>
          <w:sz w:val="22"/>
          <w:szCs w:val="22"/>
        </w:rPr>
        <w:t>. Section 940.204(1)(c) provides a definition of “health care provider” for the purposes of this offense:</w:t>
      </w:r>
    </w:p>
    <w:p w14:paraId="04FE5FF7" w14:textId="093D7C60" w:rsidR="004E5C67" w:rsidRPr="00991CAD" w:rsidRDefault="004E5C67" w:rsidP="004E5C67">
      <w:pPr>
        <w:pStyle w:val="NoSpacing"/>
        <w:tabs>
          <w:tab w:val="left" w:pos="900"/>
        </w:tabs>
        <w:jc w:val="both"/>
        <w:rPr>
          <w:sz w:val="22"/>
          <w:szCs w:val="22"/>
        </w:rPr>
      </w:pPr>
    </w:p>
    <w:p w14:paraId="20A334B5" w14:textId="5E713C91" w:rsidR="00991CAD" w:rsidRDefault="00991CAD" w:rsidP="00991CAD">
      <w:pPr>
        <w:pStyle w:val="NoSpacing"/>
        <w:ind w:left="450"/>
        <w:jc w:val="both"/>
        <w:rPr>
          <w:sz w:val="22"/>
          <w:szCs w:val="22"/>
        </w:rPr>
      </w:pPr>
      <w:r w:rsidRPr="00991CAD">
        <w:rPr>
          <w:sz w:val="22"/>
          <w:szCs w:val="22"/>
        </w:rPr>
        <w:t>“Health care provider”</w:t>
      </w:r>
      <w:r w:rsidR="00877BBF" w:rsidRPr="00991CAD">
        <w:rPr>
          <w:sz w:val="22"/>
          <w:szCs w:val="22"/>
        </w:rPr>
        <w:t xml:space="preserve"> means any of the following:</w:t>
      </w:r>
    </w:p>
    <w:p w14:paraId="392D7BCA" w14:textId="77777777" w:rsidR="008C69F9" w:rsidRPr="00991CAD" w:rsidRDefault="008C69F9" w:rsidP="00991CAD">
      <w:pPr>
        <w:pStyle w:val="NoSpacing"/>
        <w:ind w:left="450"/>
        <w:jc w:val="both"/>
        <w:rPr>
          <w:sz w:val="22"/>
          <w:szCs w:val="22"/>
        </w:rPr>
      </w:pPr>
    </w:p>
    <w:p w14:paraId="0D1BDD06" w14:textId="6A0C2B59"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nurse licensed under ch. 441.</w:t>
      </w:r>
    </w:p>
    <w:p w14:paraId="04862559"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chiropractor licensed under ch. 446.</w:t>
      </w:r>
    </w:p>
    <w:p w14:paraId="413DA44F"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dentist licensed under ch. 447.</w:t>
      </w:r>
    </w:p>
    <w:p w14:paraId="6E7779E1"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physician, perfusionist, or respiratory care practitioner licensed or certified under subch. II of ch. 448.</w:t>
      </w:r>
    </w:p>
    <w:p w14:paraId="67A95B61"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naturopathic doctor or limited-scope naturopathic doctor licensed under ch. 466.</w:t>
      </w:r>
    </w:p>
    <w:p w14:paraId="49CBE77C"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physical therapist or physical therapist assistant who is licensed under subch. III of ch. 448 or who holds a compact privilege under subch. X of ch. 448.</w:t>
      </w:r>
    </w:p>
    <w:p w14:paraId="52E2DACA"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podiatrist licensed under subch. IV of ch. 448.</w:t>
      </w:r>
    </w:p>
    <w:p w14:paraId="61A67083"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dietitian certified under subch. V of ch. 448.</w:t>
      </w:r>
    </w:p>
    <w:p w14:paraId="54147DC8"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An athletic trainer licensed under subch. VI of ch. 448.</w:t>
      </w:r>
    </w:p>
    <w:p w14:paraId="040635C0"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An occupational therapist or occupational therapy assistant who is licensed under subch. VII of ch. 448 or who holds a compact privilege under subch. XI of ch. 448.</w:t>
      </w:r>
    </w:p>
    <w:p w14:paraId="344499D7"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physician assistant licensed under subch. VIII of ch. 448.</w:t>
      </w:r>
    </w:p>
    <w:p w14:paraId="73B3DC26"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An optometrist licensed under ch. 449.</w:t>
      </w:r>
    </w:p>
    <w:p w14:paraId="448B06F9"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pharmacist or pharmacy technician licensed or registered under ch. 450.</w:t>
      </w:r>
    </w:p>
    <w:p w14:paraId="43B9ACE7"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An acupuncturist certified under ch. 451.</w:t>
      </w:r>
    </w:p>
    <w:p w14:paraId="601E4AB0"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psychologist who is licensed under ch. 455, who is exercising the temporary authorization to practice, as defined in s. 455.50 (2) (o), in this state, or who is practicing under the authority to practice interjurisdictional telepsychology, as defined in s. 455.50 (2) (b).</w:t>
      </w:r>
    </w:p>
    <w:p w14:paraId="74D445E8"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social worker, marriage and family therapist, or professional counselor certified or licensed under ch. 457.</w:t>
      </w:r>
    </w:p>
    <w:p w14:paraId="0666004E"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speech-language pathologist or audiologist licensed under subch. II of ch. 459 or a speech and language pathologist licensed by the department of public instruction.</w:t>
      </w:r>
    </w:p>
    <w:p w14:paraId="1AE6D247"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 massage therapist or bodywork therapist licensed under ch. 460.</w:t>
      </w:r>
    </w:p>
    <w:p w14:paraId="1A156C1A" w14:textId="012C1044" w:rsidR="00991CAD" w:rsidRPr="00991CAD" w:rsidRDefault="00D73E7E" w:rsidP="00991CAD">
      <w:pPr>
        <w:pStyle w:val="NoSpacing"/>
        <w:numPr>
          <w:ilvl w:val="0"/>
          <w:numId w:val="3"/>
        </w:numPr>
        <w:tabs>
          <w:tab w:val="left" w:pos="1260"/>
        </w:tabs>
        <w:jc w:val="both"/>
        <w:rPr>
          <w:sz w:val="22"/>
          <w:szCs w:val="22"/>
        </w:rPr>
      </w:pPr>
      <w:r>
        <w:rPr>
          <w:sz w:val="22"/>
          <w:szCs w:val="22"/>
        </w:rPr>
        <w:t>A</w:t>
      </w:r>
      <w:r w:rsidR="00991CAD" w:rsidRPr="00991CAD">
        <w:rPr>
          <w:sz w:val="22"/>
          <w:szCs w:val="22"/>
        </w:rPr>
        <w:t>n ambulance service provider, as defined in s. 256.01 (3).</w:t>
      </w:r>
    </w:p>
    <w:p w14:paraId="02AACBAB"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An emergency medical services practitioner, as defined in s. 256.01 (5).</w:t>
      </w:r>
    </w:p>
    <w:p w14:paraId="47428F49" w14:textId="77777777" w:rsidR="00991CAD" w:rsidRPr="00991CAD" w:rsidRDefault="00991CAD" w:rsidP="00991CAD">
      <w:pPr>
        <w:pStyle w:val="NoSpacing"/>
        <w:numPr>
          <w:ilvl w:val="0"/>
          <w:numId w:val="3"/>
        </w:numPr>
        <w:tabs>
          <w:tab w:val="left" w:pos="1260"/>
        </w:tabs>
        <w:jc w:val="both"/>
        <w:rPr>
          <w:sz w:val="22"/>
          <w:szCs w:val="22"/>
        </w:rPr>
      </w:pPr>
      <w:r w:rsidRPr="00991CAD">
        <w:rPr>
          <w:sz w:val="22"/>
          <w:szCs w:val="22"/>
        </w:rPr>
        <w:t>An emergency medical responder, as defined in s. 256.01 (4p).</w:t>
      </w:r>
    </w:p>
    <w:p w14:paraId="30D907A2" w14:textId="77777777" w:rsidR="00991CAD" w:rsidRPr="00991CAD" w:rsidRDefault="00877BBF" w:rsidP="00991CAD">
      <w:pPr>
        <w:pStyle w:val="NoSpacing"/>
        <w:numPr>
          <w:ilvl w:val="0"/>
          <w:numId w:val="3"/>
        </w:numPr>
        <w:tabs>
          <w:tab w:val="left" w:pos="1260"/>
        </w:tabs>
        <w:jc w:val="both"/>
        <w:rPr>
          <w:sz w:val="22"/>
          <w:szCs w:val="22"/>
        </w:rPr>
      </w:pPr>
      <w:r w:rsidRPr="00991CAD">
        <w:rPr>
          <w:sz w:val="22"/>
          <w:szCs w:val="22"/>
        </w:rPr>
        <w:t>A radiographer or limited X−ray machine operator licensed or permitted under ch. 462.</w:t>
      </w:r>
    </w:p>
    <w:p w14:paraId="3900CFA5" w14:textId="6E759B70" w:rsidR="00075ECE" w:rsidRPr="00991CAD" w:rsidRDefault="00877BBF" w:rsidP="00991CAD">
      <w:pPr>
        <w:pStyle w:val="NoSpacing"/>
        <w:numPr>
          <w:ilvl w:val="0"/>
          <w:numId w:val="3"/>
        </w:numPr>
        <w:tabs>
          <w:tab w:val="left" w:pos="1260"/>
        </w:tabs>
        <w:jc w:val="both"/>
        <w:rPr>
          <w:sz w:val="22"/>
          <w:szCs w:val="22"/>
        </w:rPr>
      </w:pPr>
      <w:r w:rsidRPr="00991CAD">
        <w:rPr>
          <w:sz w:val="22"/>
          <w:szCs w:val="22"/>
        </w:rPr>
        <w:t>A driver of an ambulance, as defined in s. 256.01(1t).</w:t>
      </w:r>
      <w:r w:rsidR="00FF368A" w:rsidRPr="00991CAD">
        <w:rPr>
          <w:sz w:val="22"/>
          <w:szCs w:val="22"/>
        </w:rPr>
        <w:t>”</w:t>
      </w:r>
    </w:p>
    <w:p w14:paraId="59FDE7D2" w14:textId="45400FFA" w:rsidR="007B316B" w:rsidRPr="00991CAD" w:rsidRDefault="007B316B" w:rsidP="007B316B">
      <w:pPr>
        <w:pStyle w:val="NoSpacing"/>
        <w:tabs>
          <w:tab w:val="left" w:pos="1260"/>
        </w:tabs>
        <w:jc w:val="both"/>
        <w:rPr>
          <w:sz w:val="22"/>
          <w:szCs w:val="22"/>
        </w:rPr>
      </w:pPr>
    </w:p>
    <w:p w14:paraId="45B1BF2A" w14:textId="685838F9" w:rsidR="007B316B" w:rsidRPr="0007005C" w:rsidRDefault="007B316B" w:rsidP="007B316B">
      <w:pPr>
        <w:pStyle w:val="NoSpacing"/>
        <w:tabs>
          <w:tab w:val="left" w:pos="1260"/>
        </w:tabs>
        <w:ind w:left="450"/>
        <w:jc w:val="both"/>
        <w:rPr>
          <w:sz w:val="22"/>
          <w:szCs w:val="22"/>
        </w:rPr>
      </w:pPr>
      <w:r w:rsidRPr="00991CAD">
        <w:rPr>
          <w:sz w:val="22"/>
          <w:szCs w:val="22"/>
        </w:rPr>
        <w:t>The applicable term should be inserted in the blank.</w:t>
      </w:r>
    </w:p>
    <w:p w14:paraId="4E84C880" w14:textId="776912E4" w:rsidR="004E5C67" w:rsidRPr="0007005C" w:rsidRDefault="004E5C67" w:rsidP="004E5C67">
      <w:pPr>
        <w:pStyle w:val="NoSpacing"/>
        <w:tabs>
          <w:tab w:val="left" w:pos="900"/>
        </w:tabs>
        <w:jc w:val="both"/>
        <w:rPr>
          <w:sz w:val="22"/>
          <w:szCs w:val="22"/>
        </w:rPr>
      </w:pPr>
    </w:p>
    <w:p w14:paraId="2AFE464C" w14:textId="7FC3999C" w:rsidR="00D45476" w:rsidRPr="0007005C" w:rsidRDefault="004E5C67" w:rsidP="00947E67">
      <w:pPr>
        <w:pStyle w:val="NoSpacing"/>
        <w:numPr>
          <w:ilvl w:val="0"/>
          <w:numId w:val="1"/>
        </w:numPr>
        <w:tabs>
          <w:tab w:val="left" w:pos="900"/>
        </w:tabs>
        <w:ind w:left="0" w:firstLine="450"/>
        <w:jc w:val="both"/>
        <w:rPr>
          <w:sz w:val="22"/>
          <w:szCs w:val="22"/>
        </w:rPr>
      </w:pPr>
      <w:r w:rsidRPr="0007005C">
        <w:rPr>
          <w:sz w:val="22"/>
          <w:szCs w:val="22"/>
        </w:rPr>
        <w:t>Section 940.204</w:t>
      </w:r>
      <w:r w:rsidR="00D45476" w:rsidRPr="0007005C">
        <w:rPr>
          <w:sz w:val="22"/>
          <w:szCs w:val="22"/>
        </w:rPr>
        <w:t>(1)</w:t>
      </w:r>
      <w:r w:rsidRPr="0007005C">
        <w:rPr>
          <w:sz w:val="22"/>
          <w:szCs w:val="22"/>
        </w:rPr>
        <w:t>(a)</w:t>
      </w:r>
      <w:r w:rsidR="00D45476" w:rsidRPr="0007005C">
        <w:rPr>
          <w:sz w:val="22"/>
          <w:szCs w:val="22"/>
        </w:rPr>
        <w:t xml:space="preserve"> provides:</w:t>
      </w:r>
    </w:p>
    <w:p w14:paraId="77DBA78D" w14:textId="77777777" w:rsidR="00D45476" w:rsidRPr="0007005C" w:rsidRDefault="00D45476" w:rsidP="00D45476">
      <w:pPr>
        <w:pStyle w:val="NoSpacing"/>
        <w:jc w:val="both"/>
        <w:rPr>
          <w:sz w:val="22"/>
          <w:szCs w:val="22"/>
        </w:rPr>
      </w:pPr>
    </w:p>
    <w:p w14:paraId="40B7B32D" w14:textId="73738AF9" w:rsidR="00D45476" w:rsidRPr="0007005C" w:rsidRDefault="004E5C67" w:rsidP="00947E67">
      <w:pPr>
        <w:pStyle w:val="NoSpacing"/>
        <w:ind w:left="450" w:right="450"/>
        <w:jc w:val="both"/>
        <w:rPr>
          <w:sz w:val="22"/>
          <w:szCs w:val="22"/>
        </w:rPr>
      </w:pPr>
      <w:r w:rsidRPr="0007005C">
        <w:rPr>
          <w:sz w:val="22"/>
          <w:szCs w:val="22"/>
        </w:rPr>
        <w:t>“In this section: ‘family member’</w:t>
      </w:r>
      <w:r w:rsidR="00D45476" w:rsidRPr="0007005C">
        <w:rPr>
          <w:sz w:val="22"/>
          <w:szCs w:val="22"/>
        </w:rPr>
        <w:t xml:space="preserve"> means a parent, spouse, sibling, ch</w:t>
      </w:r>
      <w:r w:rsidRPr="0007005C">
        <w:rPr>
          <w:sz w:val="22"/>
          <w:szCs w:val="22"/>
        </w:rPr>
        <w:t xml:space="preserve">ild, stepchild, or foster </w:t>
      </w:r>
      <w:r w:rsidRPr="0007005C">
        <w:rPr>
          <w:sz w:val="22"/>
          <w:szCs w:val="22"/>
        </w:rPr>
        <w:lastRenderedPageBreak/>
        <w:t>child.</w:t>
      </w:r>
      <w:r w:rsidR="00FF368A">
        <w:rPr>
          <w:sz w:val="22"/>
          <w:szCs w:val="22"/>
        </w:rPr>
        <w:t>”</w:t>
      </w:r>
    </w:p>
    <w:p w14:paraId="62618F00" w14:textId="77777777" w:rsidR="00D45476" w:rsidRPr="0007005C" w:rsidRDefault="00D45476" w:rsidP="00D45476">
      <w:pPr>
        <w:pStyle w:val="NoSpacing"/>
        <w:jc w:val="both"/>
        <w:rPr>
          <w:sz w:val="22"/>
          <w:szCs w:val="22"/>
        </w:rPr>
      </w:pPr>
    </w:p>
    <w:p w14:paraId="53B7E20B" w14:textId="77777777" w:rsidR="00D45476" w:rsidRPr="0007005C" w:rsidRDefault="00D45476" w:rsidP="00947E67">
      <w:pPr>
        <w:pStyle w:val="NoSpacing"/>
        <w:ind w:firstLine="450"/>
        <w:jc w:val="both"/>
        <w:rPr>
          <w:sz w:val="22"/>
          <w:szCs w:val="22"/>
        </w:rPr>
      </w:pPr>
      <w:r w:rsidRPr="0007005C">
        <w:rPr>
          <w:sz w:val="22"/>
          <w:szCs w:val="22"/>
        </w:rPr>
        <w:t>The applicable term should be inserted in the blank.</w:t>
      </w:r>
    </w:p>
    <w:p w14:paraId="5067A12D" w14:textId="77777777" w:rsidR="00947E67" w:rsidRPr="0007005C" w:rsidRDefault="00947E67" w:rsidP="00947E67">
      <w:pPr>
        <w:pStyle w:val="NoSpacing"/>
        <w:ind w:firstLine="450"/>
        <w:jc w:val="both"/>
        <w:rPr>
          <w:sz w:val="22"/>
          <w:szCs w:val="22"/>
        </w:rPr>
      </w:pPr>
    </w:p>
    <w:p w14:paraId="329F2BBE" w14:textId="77777777" w:rsidR="00947E67" w:rsidRPr="0007005C" w:rsidRDefault="00D45476" w:rsidP="00D45476">
      <w:pPr>
        <w:pStyle w:val="NoSpacing"/>
        <w:numPr>
          <w:ilvl w:val="0"/>
          <w:numId w:val="1"/>
        </w:numPr>
        <w:tabs>
          <w:tab w:val="left" w:pos="900"/>
        </w:tabs>
        <w:ind w:left="0" w:firstLine="450"/>
        <w:jc w:val="both"/>
        <w:rPr>
          <w:sz w:val="22"/>
          <w:szCs w:val="22"/>
        </w:rPr>
      </w:pPr>
      <w:r w:rsidRPr="0007005C">
        <w:rPr>
          <w:sz w:val="22"/>
          <w:szCs w:val="22"/>
        </w:rPr>
        <w:t xml:space="preserve">See note 2, </w:t>
      </w:r>
      <w:r w:rsidRPr="0007005C">
        <w:rPr>
          <w:sz w:val="22"/>
          <w:szCs w:val="22"/>
          <w:u w:val="single"/>
        </w:rPr>
        <w:t>supra</w:t>
      </w:r>
      <w:r w:rsidRPr="0007005C">
        <w:rPr>
          <w:sz w:val="22"/>
          <w:szCs w:val="22"/>
        </w:rPr>
        <w:t>.</w:t>
      </w:r>
    </w:p>
    <w:p w14:paraId="04ABFCB7" w14:textId="05DFA05C" w:rsidR="00947E67" w:rsidRPr="00D45476" w:rsidRDefault="00947E67" w:rsidP="00A10847">
      <w:pPr>
        <w:pStyle w:val="NoSpacing"/>
        <w:tabs>
          <w:tab w:val="left" w:pos="900"/>
        </w:tabs>
        <w:jc w:val="both"/>
        <w:rPr>
          <w:sz w:val="22"/>
          <w:szCs w:val="22"/>
        </w:rPr>
      </w:pPr>
    </w:p>
    <w:p w14:paraId="550A9986" w14:textId="77777777" w:rsidR="00947E67" w:rsidRDefault="00234BE9" w:rsidP="00D45476">
      <w:pPr>
        <w:pStyle w:val="NoSpacing"/>
        <w:numPr>
          <w:ilvl w:val="0"/>
          <w:numId w:val="1"/>
        </w:numPr>
        <w:tabs>
          <w:tab w:val="left" w:pos="900"/>
        </w:tabs>
        <w:ind w:left="0" w:firstLine="450"/>
        <w:jc w:val="both"/>
        <w:rPr>
          <w:sz w:val="22"/>
          <w:szCs w:val="22"/>
        </w:rPr>
      </w:pPr>
      <w:r>
        <w:rPr>
          <w:sz w:val="22"/>
          <w:szCs w:val="22"/>
        </w:rPr>
        <w:t>If definition of “without consent”</w:t>
      </w:r>
      <w:r w:rsidR="00D45476" w:rsidRPr="00D45476">
        <w:rPr>
          <w:sz w:val="22"/>
          <w:szCs w:val="22"/>
        </w:rPr>
        <w:t xml:space="preserve"> is belie</w:t>
      </w:r>
      <w:r w:rsidR="003B2D13">
        <w:rPr>
          <w:sz w:val="22"/>
          <w:szCs w:val="22"/>
        </w:rPr>
        <w:t>ved to be necessary, see Wis JI-</w:t>
      </w:r>
      <w:r w:rsidR="00D45476" w:rsidRPr="00D45476">
        <w:rPr>
          <w:sz w:val="22"/>
          <w:szCs w:val="22"/>
        </w:rPr>
        <w:t xml:space="preserve">Criminal 948 which provides an instruction based on the definition provided in § 939.22(48). </w:t>
      </w:r>
      <w:r>
        <w:rPr>
          <w:sz w:val="22"/>
          <w:szCs w:val="22"/>
        </w:rPr>
        <w:t xml:space="preserve"> That definition provides that “without consent” means “no consent in fact”</w:t>
      </w:r>
      <w:r w:rsidR="00D45476" w:rsidRPr="00D45476">
        <w:rPr>
          <w:sz w:val="22"/>
          <w:szCs w:val="22"/>
        </w:rPr>
        <w:t xml:space="preserve"> or that consent was given because of fear, a claim of legal authority by the defendant, or misunderstanding.</w:t>
      </w:r>
    </w:p>
    <w:p w14:paraId="12B0877E" w14:textId="77777777" w:rsidR="00947E67" w:rsidRDefault="00947E67" w:rsidP="00947E67">
      <w:pPr>
        <w:pStyle w:val="NoSpacing"/>
        <w:tabs>
          <w:tab w:val="left" w:pos="900"/>
        </w:tabs>
        <w:ind w:left="450"/>
        <w:jc w:val="both"/>
        <w:rPr>
          <w:sz w:val="22"/>
          <w:szCs w:val="22"/>
        </w:rPr>
      </w:pPr>
    </w:p>
    <w:p w14:paraId="194AB023" w14:textId="77777777" w:rsidR="00D45476" w:rsidRPr="00947E67" w:rsidRDefault="00234BE9" w:rsidP="00D45476">
      <w:pPr>
        <w:pStyle w:val="NoSpacing"/>
        <w:numPr>
          <w:ilvl w:val="0"/>
          <w:numId w:val="1"/>
        </w:numPr>
        <w:tabs>
          <w:tab w:val="left" w:pos="900"/>
        </w:tabs>
        <w:ind w:left="0" w:firstLine="450"/>
        <w:jc w:val="both"/>
        <w:rPr>
          <w:sz w:val="22"/>
          <w:szCs w:val="22"/>
        </w:rPr>
      </w:pPr>
      <w:r>
        <w:rPr>
          <w:sz w:val="22"/>
          <w:szCs w:val="22"/>
        </w:rPr>
        <w:t>“</w:t>
      </w:r>
      <w:r w:rsidR="00D45476" w:rsidRPr="00947E67">
        <w:rPr>
          <w:sz w:val="22"/>
          <w:szCs w:val="22"/>
        </w:rPr>
        <w:t>Intention</w:t>
      </w:r>
      <w:r>
        <w:rPr>
          <w:sz w:val="22"/>
          <w:szCs w:val="22"/>
        </w:rPr>
        <w:t>ally”</w:t>
      </w:r>
      <w:r w:rsidR="00D45476" w:rsidRPr="00947E67">
        <w:rPr>
          <w:sz w:val="22"/>
          <w:szCs w:val="22"/>
        </w:rPr>
        <w:t xml:space="preserve"> requires either mental purpose to cause the result or awareness that the conduct is practically certain to cause it.  § 939.23(3).  The Committee concluded that the mental purpose alternative is most likely to apply to this offense.  See Wis JI-Criminal 923A and 923B.</w:t>
      </w:r>
    </w:p>
    <w:p w14:paraId="6153ED81" w14:textId="77777777" w:rsidR="00D45476" w:rsidRPr="00D45476" w:rsidRDefault="00D45476" w:rsidP="00D45476">
      <w:pPr>
        <w:pStyle w:val="NoSpacing"/>
        <w:jc w:val="both"/>
        <w:rPr>
          <w:sz w:val="22"/>
          <w:szCs w:val="22"/>
        </w:rPr>
      </w:pPr>
    </w:p>
    <w:p w14:paraId="6BCB4FF1" w14:textId="1A8379E0" w:rsidR="00605BBA" w:rsidRDefault="00234BE9" w:rsidP="00234BE9">
      <w:pPr>
        <w:pStyle w:val="NoSpacing"/>
        <w:ind w:firstLine="450"/>
        <w:jc w:val="both"/>
        <w:rPr>
          <w:sz w:val="22"/>
          <w:szCs w:val="22"/>
        </w:rPr>
      </w:pPr>
      <w:r>
        <w:rPr>
          <w:sz w:val="22"/>
          <w:szCs w:val="22"/>
        </w:rPr>
        <w:t>“Intentionally”</w:t>
      </w:r>
      <w:r w:rsidR="00D45476" w:rsidRPr="00D45476">
        <w:rPr>
          <w:sz w:val="22"/>
          <w:szCs w:val="22"/>
        </w:rPr>
        <w:t xml:space="preserve"> also generally requires knowledge of all facts necessary to make the conduct </w:t>
      </w:r>
      <w:r>
        <w:rPr>
          <w:sz w:val="22"/>
          <w:szCs w:val="22"/>
        </w:rPr>
        <w:t>criminal which follow the word “intentionally”</w:t>
      </w:r>
      <w:r w:rsidR="00D45476" w:rsidRPr="00D45476">
        <w:rPr>
          <w:sz w:val="22"/>
          <w:szCs w:val="22"/>
        </w:rPr>
        <w:t xml:space="preserve"> in the statute.  § 939.23(3).  This general rule appears to be countered by</w:t>
      </w:r>
      <w:r w:rsidR="00636A11">
        <w:rPr>
          <w:sz w:val="22"/>
          <w:szCs w:val="22"/>
        </w:rPr>
        <w:t xml:space="preserve"> the drafting style of § 940.204</w:t>
      </w:r>
      <w:r w:rsidR="00801D2D">
        <w:rPr>
          <w:sz w:val="22"/>
          <w:szCs w:val="22"/>
        </w:rPr>
        <w:t>(3)</w:t>
      </w:r>
      <w:r w:rsidR="00D45476" w:rsidRPr="00D45476">
        <w:rPr>
          <w:sz w:val="22"/>
          <w:szCs w:val="22"/>
        </w:rPr>
        <w:t xml:space="preserve"> which divides the facts necessary to constitute the crime among sever</w:t>
      </w:r>
      <w:r>
        <w:rPr>
          <w:sz w:val="22"/>
          <w:szCs w:val="22"/>
        </w:rPr>
        <w:t xml:space="preserve">al subsections of the statute.  </w:t>
      </w:r>
      <w:r w:rsidR="00D45476" w:rsidRPr="00D45476">
        <w:rPr>
          <w:sz w:val="22"/>
          <w:szCs w:val="22"/>
        </w:rPr>
        <w:t xml:space="preserve">The Committee concluded that the knowledge requirement that </w:t>
      </w:r>
      <w:r>
        <w:rPr>
          <w:sz w:val="22"/>
          <w:szCs w:val="22"/>
        </w:rPr>
        <w:t>usually accompanies the use of “intentionally”</w:t>
      </w:r>
      <w:r w:rsidR="00D45476" w:rsidRPr="00D45476">
        <w:rPr>
          <w:sz w:val="22"/>
          <w:szCs w:val="22"/>
        </w:rPr>
        <w:t xml:space="preserve"> does not carry over to</w:t>
      </w:r>
      <w:r w:rsidR="00801D2D">
        <w:rPr>
          <w:sz w:val="22"/>
          <w:szCs w:val="22"/>
        </w:rPr>
        <w:t xml:space="preserve"> the three facts set forth in (3</w:t>
      </w:r>
      <w:r w:rsidR="00D45476" w:rsidRPr="00D45476">
        <w:rPr>
          <w:sz w:val="22"/>
          <w:szCs w:val="22"/>
        </w:rPr>
        <w:t>)(a</w:t>
      </w:r>
      <w:r w:rsidR="00801D2D">
        <w:rPr>
          <w:sz w:val="22"/>
          <w:szCs w:val="22"/>
        </w:rPr>
        <w:t>), through (b) and (c).  Sub. (3</w:t>
      </w:r>
      <w:r w:rsidR="00D45476" w:rsidRPr="00D45476">
        <w:rPr>
          <w:sz w:val="22"/>
          <w:szCs w:val="22"/>
        </w:rPr>
        <w:t>)</w:t>
      </w:r>
      <w:r>
        <w:rPr>
          <w:sz w:val="22"/>
          <w:szCs w:val="22"/>
        </w:rPr>
        <w:t>(a) has its own mental state – “knows or should know”</w:t>
      </w:r>
      <w:r w:rsidR="00D45476" w:rsidRPr="00D45476">
        <w:rPr>
          <w:sz w:val="22"/>
          <w:szCs w:val="22"/>
        </w:rPr>
        <w:t xml:space="preserve"> – and thereby</w:t>
      </w:r>
      <w:r>
        <w:rPr>
          <w:sz w:val="22"/>
          <w:szCs w:val="22"/>
        </w:rPr>
        <w:t xml:space="preserve"> breaks the connection between “intentionally”</w:t>
      </w:r>
      <w:r w:rsidR="00801D2D">
        <w:rPr>
          <w:sz w:val="22"/>
          <w:szCs w:val="22"/>
        </w:rPr>
        <w:t xml:space="preserve"> used in sub. (3</w:t>
      </w:r>
      <w:r w:rsidR="00D45476" w:rsidRPr="00D45476">
        <w:rPr>
          <w:sz w:val="22"/>
          <w:szCs w:val="22"/>
        </w:rPr>
        <w:t>) proper and the other facts that follow.</w:t>
      </w:r>
    </w:p>
    <w:p w14:paraId="40E737D4" w14:textId="7CED5802" w:rsidR="00A10847" w:rsidRDefault="00A10847" w:rsidP="00234BE9">
      <w:pPr>
        <w:pStyle w:val="NoSpacing"/>
        <w:ind w:firstLine="450"/>
        <w:jc w:val="both"/>
        <w:rPr>
          <w:sz w:val="22"/>
          <w:szCs w:val="22"/>
        </w:rPr>
      </w:pPr>
    </w:p>
    <w:p w14:paraId="4BEFC4C1" w14:textId="23609584" w:rsidR="00A10847" w:rsidRPr="00A10847" w:rsidRDefault="00A10847" w:rsidP="00A10847">
      <w:pPr>
        <w:pStyle w:val="NoSpacing"/>
        <w:numPr>
          <w:ilvl w:val="0"/>
          <w:numId w:val="1"/>
        </w:numPr>
        <w:tabs>
          <w:tab w:val="left" w:pos="900"/>
        </w:tabs>
        <w:ind w:left="0" w:firstLine="450"/>
        <w:jc w:val="both"/>
        <w:rPr>
          <w:sz w:val="22"/>
          <w:szCs w:val="22"/>
        </w:rPr>
      </w:pPr>
      <w:r w:rsidRPr="00A10847">
        <w:rPr>
          <w:sz w:val="22"/>
          <w:szCs w:val="22"/>
        </w:rPr>
        <w:t>This is the shorter version used to describe the process of finding intent. The Committee concluded that it is suitable for use in most cases. For the longer description of the intent-finding process, see Wis JI-Criminal 923A.</w:t>
      </w:r>
    </w:p>
    <w:sectPr w:rsidR="00A10847" w:rsidRPr="00A10847" w:rsidSect="00FC0D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1893B" w14:textId="77777777" w:rsidR="00D45476" w:rsidRDefault="00D45476" w:rsidP="00D45476">
      <w:r>
        <w:separator/>
      </w:r>
    </w:p>
  </w:endnote>
  <w:endnote w:type="continuationSeparator" w:id="0">
    <w:p w14:paraId="28A71DA4" w14:textId="77777777" w:rsidR="00D45476" w:rsidRDefault="00D45476" w:rsidP="00D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1D9FA" w14:textId="77777777" w:rsidR="0007005C" w:rsidRDefault="0007005C" w:rsidP="0007005C">
    <w:pPr>
      <w:pStyle w:val="Footer"/>
      <w:jc w:val="both"/>
      <w:rPr>
        <w:rFonts w:ascii="Arial" w:hAnsi="Arial" w:cs="Arial"/>
        <w:sz w:val="20"/>
        <w:szCs w:val="20"/>
      </w:rPr>
    </w:pPr>
  </w:p>
  <w:p w14:paraId="614761EF" w14:textId="0490BD2B" w:rsidR="0007005C" w:rsidRPr="0007005C" w:rsidRDefault="0007005C" w:rsidP="0007005C">
    <w:pPr>
      <w:pStyle w:val="Footer"/>
      <w:jc w:val="both"/>
      <w:rPr>
        <w:rFonts w:ascii="Arial" w:hAnsi="Arial" w:cs="Arial"/>
        <w:sz w:val="20"/>
        <w:szCs w:val="20"/>
      </w:rPr>
    </w:pPr>
    <w:r w:rsidRPr="0007005C">
      <w:rPr>
        <w:rFonts w:ascii="Arial" w:hAnsi="Arial" w:cs="Arial"/>
        <w:sz w:val="20"/>
        <w:szCs w:val="20"/>
      </w:rPr>
      <w:t>Wiscon</w:t>
    </w:r>
    <w:r w:rsidR="00D53A4C">
      <w:rPr>
        <w:rFonts w:ascii="Arial" w:hAnsi="Arial" w:cs="Arial"/>
        <w:sz w:val="20"/>
        <w:szCs w:val="20"/>
      </w:rPr>
      <w:t>s</w:t>
    </w:r>
    <w:r w:rsidR="00FC0D80">
      <w:rPr>
        <w:rFonts w:ascii="Arial" w:hAnsi="Arial" w:cs="Arial"/>
        <w:sz w:val="20"/>
        <w:szCs w:val="20"/>
      </w:rPr>
      <w:t>in Court System, 2022</w:t>
    </w:r>
    <w:r w:rsidR="00FC0D80">
      <w:rPr>
        <w:rFonts w:ascii="Arial" w:hAnsi="Arial" w:cs="Arial"/>
        <w:sz w:val="20"/>
        <w:szCs w:val="20"/>
      </w:rPr>
      <w:tab/>
    </w:r>
    <w:r w:rsidR="00FC0D80">
      <w:rPr>
        <w:rFonts w:ascii="Arial" w:hAnsi="Arial" w:cs="Arial"/>
        <w:sz w:val="20"/>
        <w:szCs w:val="20"/>
      </w:rPr>
      <w:tab/>
      <w:t>(Release No. 60</w:t>
    </w:r>
    <w:r w:rsidR="00D53A4C">
      <w:rPr>
        <w:rFonts w:ascii="Arial" w:hAnsi="Arial" w:cs="Arial"/>
        <w:sz w:val="20"/>
        <w:szCs w:val="20"/>
      </w:rPr>
      <w:t>)</w:t>
    </w:r>
  </w:p>
  <w:p w14:paraId="0DCDC4BD" w14:textId="125237EE" w:rsidR="0007005C" w:rsidRPr="0007005C" w:rsidRDefault="00697B70">
    <w:pPr>
      <w:pStyle w:val="Footer"/>
      <w:jc w:val="center"/>
      <w:rPr>
        <w:rFonts w:ascii="Arial" w:hAnsi="Arial" w:cs="Arial"/>
        <w:sz w:val="20"/>
        <w:szCs w:val="20"/>
      </w:rPr>
    </w:pPr>
    <w:sdt>
      <w:sdtPr>
        <w:rPr>
          <w:rFonts w:ascii="Arial" w:hAnsi="Arial" w:cs="Arial"/>
          <w:sz w:val="20"/>
          <w:szCs w:val="20"/>
        </w:rPr>
        <w:id w:val="-2075662386"/>
        <w:docPartObj>
          <w:docPartGallery w:val="Page Numbers (Bottom of Page)"/>
          <w:docPartUnique/>
        </w:docPartObj>
      </w:sdtPr>
      <w:sdtEndPr>
        <w:rPr>
          <w:noProof/>
        </w:rPr>
      </w:sdtEndPr>
      <w:sdtContent>
        <w:r w:rsidR="0007005C" w:rsidRPr="0007005C">
          <w:rPr>
            <w:rFonts w:ascii="Arial" w:hAnsi="Arial" w:cs="Arial"/>
            <w:sz w:val="20"/>
            <w:szCs w:val="20"/>
          </w:rPr>
          <w:fldChar w:fldCharType="begin"/>
        </w:r>
        <w:r w:rsidR="0007005C" w:rsidRPr="0007005C">
          <w:rPr>
            <w:rFonts w:ascii="Arial" w:hAnsi="Arial" w:cs="Arial"/>
            <w:sz w:val="20"/>
            <w:szCs w:val="20"/>
          </w:rPr>
          <w:instrText xml:space="preserve"> PAGE   \* MERGEFORMAT </w:instrText>
        </w:r>
        <w:r w:rsidR="0007005C" w:rsidRPr="0007005C">
          <w:rPr>
            <w:rFonts w:ascii="Arial" w:hAnsi="Arial" w:cs="Arial"/>
            <w:sz w:val="20"/>
            <w:szCs w:val="20"/>
          </w:rPr>
          <w:fldChar w:fldCharType="separate"/>
        </w:r>
        <w:r>
          <w:rPr>
            <w:rFonts w:ascii="Arial" w:hAnsi="Arial" w:cs="Arial"/>
            <w:noProof/>
            <w:sz w:val="20"/>
            <w:szCs w:val="20"/>
          </w:rPr>
          <w:t>1</w:t>
        </w:r>
        <w:r w:rsidR="0007005C" w:rsidRPr="0007005C">
          <w:rPr>
            <w:rFonts w:ascii="Arial" w:hAnsi="Arial" w:cs="Arial"/>
            <w:noProof/>
            <w:sz w:val="20"/>
            <w:szCs w:val="20"/>
          </w:rPr>
          <w:fldChar w:fldCharType="end"/>
        </w:r>
      </w:sdtContent>
    </w:sdt>
  </w:p>
  <w:p w14:paraId="4D38871F" w14:textId="77777777" w:rsidR="0007005C" w:rsidRPr="0007005C" w:rsidRDefault="0007005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2139" w14:textId="77777777" w:rsidR="00D45476" w:rsidRDefault="00D45476" w:rsidP="00D45476">
      <w:r>
        <w:separator/>
      </w:r>
    </w:p>
  </w:footnote>
  <w:footnote w:type="continuationSeparator" w:id="0">
    <w:p w14:paraId="6AE9AD2B" w14:textId="77777777" w:rsidR="00D45476" w:rsidRDefault="00D45476" w:rsidP="00D4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3561" w14:textId="77777777" w:rsidR="00D45476" w:rsidRDefault="00D45476">
    <w:pPr>
      <w:pStyle w:val="Header"/>
      <w:rPr>
        <w:rFonts w:ascii="Arial" w:hAnsi="Arial" w:cs="Arial"/>
        <w:b/>
        <w:bCs/>
        <w:sz w:val="28"/>
        <w:szCs w:val="28"/>
      </w:rPr>
    </w:pPr>
  </w:p>
  <w:p w14:paraId="217135DC" w14:textId="10940EA1" w:rsidR="00D45476" w:rsidRDefault="00FB7EFD">
    <w:pPr>
      <w:pStyle w:val="Header"/>
      <w:rPr>
        <w:rFonts w:ascii="Arial" w:hAnsi="Arial" w:cs="Arial"/>
        <w:b/>
        <w:bCs/>
        <w:sz w:val="28"/>
        <w:szCs w:val="28"/>
      </w:rPr>
    </w:pPr>
    <w:r>
      <w:rPr>
        <w:rFonts w:ascii="Arial" w:hAnsi="Arial" w:cs="Arial"/>
        <w:b/>
        <w:bCs/>
        <w:sz w:val="28"/>
        <w:szCs w:val="28"/>
      </w:rPr>
      <w:t>1247</w:t>
    </w:r>
    <w:r w:rsidR="00BF662E">
      <w:rPr>
        <w:rFonts w:ascii="Arial" w:hAnsi="Arial" w:cs="Arial"/>
        <w:b/>
        <w:bCs/>
        <w:sz w:val="28"/>
        <w:szCs w:val="28"/>
      </w:rPr>
      <w:t>B</w:t>
    </w:r>
    <w:r>
      <w:rPr>
        <w:rFonts w:ascii="Arial" w:hAnsi="Arial" w:cs="Arial"/>
        <w:b/>
        <w:bCs/>
        <w:sz w:val="28"/>
        <w:szCs w:val="28"/>
      </w:rPr>
      <w:tab/>
      <w:t>WIS JI</w:t>
    </w:r>
    <w:r>
      <w:rPr>
        <w:rFonts w:ascii="Arial" w:hAnsi="Arial" w:cs="Arial"/>
        <w:b/>
        <w:bCs/>
        <w:sz w:val="28"/>
        <w:szCs w:val="28"/>
      </w:rPr>
      <w:noBreakHyphen/>
      <w:t>CRIMINAL</w:t>
    </w:r>
    <w:r>
      <w:rPr>
        <w:rFonts w:ascii="Arial" w:hAnsi="Arial" w:cs="Arial"/>
        <w:b/>
        <w:bCs/>
        <w:sz w:val="28"/>
        <w:szCs w:val="28"/>
      </w:rPr>
      <w:tab/>
      <w:t>1247</w:t>
    </w:r>
    <w:r w:rsidR="00BF662E">
      <w:rPr>
        <w:rFonts w:ascii="Arial" w:hAnsi="Arial" w:cs="Arial"/>
        <w:b/>
        <w:bCs/>
        <w:sz w:val="28"/>
        <w:szCs w:val="28"/>
      </w:rPr>
      <w:t>B</w:t>
    </w:r>
  </w:p>
  <w:p w14:paraId="1B01F941" w14:textId="7DE9C1A7" w:rsidR="00D1104F" w:rsidRDefault="00D1104F">
    <w:pPr>
      <w:pStyle w:val="Header"/>
      <w:rPr>
        <w:rFonts w:ascii="Arial" w:hAnsi="Arial" w:cs="Arial"/>
        <w:b/>
        <w:bCs/>
        <w:sz w:val="28"/>
        <w:szCs w:val="28"/>
      </w:rPr>
    </w:pPr>
  </w:p>
  <w:p w14:paraId="0BB728AB" w14:textId="77777777" w:rsidR="00D1104F" w:rsidRPr="00D1104F" w:rsidRDefault="00D1104F">
    <w:pPr>
      <w:pStyle w:val="Head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CF3"/>
    <w:multiLevelType w:val="hybridMultilevel"/>
    <w:tmpl w:val="A0DA4D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0D508F5"/>
    <w:multiLevelType w:val="hybridMultilevel"/>
    <w:tmpl w:val="C022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62C5C"/>
    <w:multiLevelType w:val="hybridMultilevel"/>
    <w:tmpl w:val="7E60CFCC"/>
    <w:lvl w:ilvl="0" w:tplc="A8C04B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76"/>
    <w:rsid w:val="00011455"/>
    <w:rsid w:val="00015D39"/>
    <w:rsid w:val="00031332"/>
    <w:rsid w:val="0007005C"/>
    <w:rsid w:val="00075ECE"/>
    <w:rsid w:val="00076289"/>
    <w:rsid w:val="000D2A6B"/>
    <w:rsid w:val="00125699"/>
    <w:rsid w:val="001C6684"/>
    <w:rsid w:val="00234BE9"/>
    <w:rsid w:val="00243CAB"/>
    <w:rsid w:val="002A3C80"/>
    <w:rsid w:val="002C3D5D"/>
    <w:rsid w:val="002F2B61"/>
    <w:rsid w:val="0030125D"/>
    <w:rsid w:val="003B2D13"/>
    <w:rsid w:val="003F6794"/>
    <w:rsid w:val="00432261"/>
    <w:rsid w:val="0047694F"/>
    <w:rsid w:val="004D6DBF"/>
    <w:rsid w:val="004E5C67"/>
    <w:rsid w:val="00543D40"/>
    <w:rsid w:val="00565171"/>
    <w:rsid w:val="005C4321"/>
    <w:rsid w:val="005D0E49"/>
    <w:rsid w:val="005D7FBB"/>
    <w:rsid w:val="005F6FA7"/>
    <w:rsid w:val="00605BBA"/>
    <w:rsid w:val="00636A11"/>
    <w:rsid w:val="0065419D"/>
    <w:rsid w:val="00692843"/>
    <w:rsid w:val="00697B70"/>
    <w:rsid w:val="006A0E2D"/>
    <w:rsid w:val="006C3527"/>
    <w:rsid w:val="006C6462"/>
    <w:rsid w:val="006D0CF2"/>
    <w:rsid w:val="006D6D7A"/>
    <w:rsid w:val="00712294"/>
    <w:rsid w:val="007B316B"/>
    <w:rsid w:val="00801D2D"/>
    <w:rsid w:val="00840977"/>
    <w:rsid w:val="0084286A"/>
    <w:rsid w:val="00855E87"/>
    <w:rsid w:val="008654C7"/>
    <w:rsid w:val="00873A0B"/>
    <w:rsid w:val="00877BBF"/>
    <w:rsid w:val="008C69F9"/>
    <w:rsid w:val="00947E67"/>
    <w:rsid w:val="00991CAD"/>
    <w:rsid w:val="00992531"/>
    <w:rsid w:val="00A10847"/>
    <w:rsid w:val="00A334EC"/>
    <w:rsid w:val="00AB0A4F"/>
    <w:rsid w:val="00BB566D"/>
    <w:rsid w:val="00BF662E"/>
    <w:rsid w:val="00C36F00"/>
    <w:rsid w:val="00C60BF0"/>
    <w:rsid w:val="00C97FA7"/>
    <w:rsid w:val="00CB00DE"/>
    <w:rsid w:val="00D1104F"/>
    <w:rsid w:val="00D207E2"/>
    <w:rsid w:val="00D45476"/>
    <w:rsid w:val="00D53A4C"/>
    <w:rsid w:val="00D738EF"/>
    <w:rsid w:val="00D73E7E"/>
    <w:rsid w:val="00DD132D"/>
    <w:rsid w:val="00E022CA"/>
    <w:rsid w:val="00EB49F2"/>
    <w:rsid w:val="00EE64A8"/>
    <w:rsid w:val="00F01008"/>
    <w:rsid w:val="00F03CE9"/>
    <w:rsid w:val="00F2504C"/>
    <w:rsid w:val="00F45BC2"/>
    <w:rsid w:val="00F464F5"/>
    <w:rsid w:val="00F8359E"/>
    <w:rsid w:val="00FB7EFD"/>
    <w:rsid w:val="00FC0D80"/>
    <w:rsid w:val="00FF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3FF5"/>
  <w15:chartTrackingRefBased/>
  <w15:docId w15:val="{C8A0018A-3D54-4772-9973-246FB20D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47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5476"/>
  </w:style>
  <w:style w:type="paragraph" w:styleId="Footer">
    <w:name w:val="footer"/>
    <w:basedOn w:val="Normal"/>
    <w:link w:val="FooterChar"/>
    <w:uiPriority w:val="99"/>
    <w:unhideWhenUsed/>
    <w:rsid w:val="00D45476"/>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5476"/>
  </w:style>
  <w:style w:type="paragraph" w:styleId="NoSpacing">
    <w:name w:val="No Spacing"/>
    <w:uiPriority w:val="1"/>
    <w:qFormat/>
    <w:rsid w:val="00D454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3D5D"/>
    <w:pPr>
      <w:ind w:left="720"/>
      <w:contextualSpacing/>
    </w:pPr>
  </w:style>
  <w:style w:type="character" w:styleId="LineNumber">
    <w:name w:val="line number"/>
    <w:basedOn w:val="DefaultParagraphFont"/>
    <w:uiPriority w:val="99"/>
    <w:semiHidden/>
    <w:unhideWhenUsed/>
    <w:rsid w:val="00234BE9"/>
  </w:style>
  <w:style w:type="character" w:styleId="CommentReference">
    <w:name w:val="annotation reference"/>
    <w:basedOn w:val="DefaultParagraphFont"/>
    <w:uiPriority w:val="99"/>
    <w:semiHidden/>
    <w:unhideWhenUsed/>
    <w:rsid w:val="00FB7EFD"/>
    <w:rPr>
      <w:sz w:val="16"/>
      <w:szCs w:val="16"/>
    </w:rPr>
  </w:style>
  <w:style w:type="paragraph" w:styleId="CommentText">
    <w:name w:val="annotation text"/>
    <w:basedOn w:val="Normal"/>
    <w:link w:val="CommentTextChar"/>
    <w:uiPriority w:val="99"/>
    <w:semiHidden/>
    <w:unhideWhenUsed/>
    <w:rsid w:val="00FB7EFD"/>
    <w:rPr>
      <w:sz w:val="20"/>
      <w:szCs w:val="20"/>
    </w:rPr>
  </w:style>
  <w:style w:type="character" w:customStyle="1" w:styleId="CommentTextChar">
    <w:name w:val="Comment Text Char"/>
    <w:basedOn w:val="DefaultParagraphFont"/>
    <w:link w:val="CommentText"/>
    <w:uiPriority w:val="99"/>
    <w:semiHidden/>
    <w:rsid w:val="00FB7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EFD"/>
    <w:rPr>
      <w:b/>
      <w:bCs/>
    </w:rPr>
  </w:style>
  <w:style w:type="character" w:customStyle="1" w:styleId="CommentSubjectChar">
    <w:name w:val="Comment Subject Char"/>
    <w:basedOn w:val="CommentTextChar"/>
    <w:link w:val="CommentSubject"/>
    <w:uiPriority w:val="99"/>
    <w:semiHidden/>
    <w:rsid w:val="00FB7E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4</cp:revision>
  <cp:lastPrinted>2022-07-05T15:42:00Z</cp:lastPrinted>
  <dcterms:created xsi:type="dcterms:W3CDTF">2022-06-27T19:56:00Z</dcterms:created>
  <dcterms:modified xsi:type="dcterms:W3CDTF">2022-07-05T15:43:00Z</dcterms:modified>
</cp:coreProperties>
</file>