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C733" w14:textId="77777777" w:rsidR="005766C0" w:rsidRDefault="005766C0" w:rsidP="005766C0">
      <w:pPr>
        <w:widowControl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900" w:hanging="900"/>
        <w:rPr>
          <w:sz w:val="26"/>
          <w:szCs w:val="26"/>
        </w:rPr>
      </w:pPr>
      <w:r>
        <w:rPr>
          <w:b/>
          <w:bCs/>
          <w:sz w:val="26"/>
          <w:szCs w:val="26"/>
        </w:rPr>
        <w:t>1335</w:t>
      </w:r>
      <w:r>
        <w:rPr>
          <w:b/>
          <w:bCs/>
          <w:sz w:val="26"/>
          <w:szCs w:val="26"/>
        </w:rPr>
        <w:tab/>
        <w:t>CARRYING A CONCEALED WEAPON — § 941.23</w:t>
      </w:r>
    </w:p>
    <w:p w14:paraId="11CBC27A" w14:textId="77777777" w:rsidR="008B0B54" w:rsidRPr="005766C0" w:rsidRDefault="008B0B54" w:rsidP="005766C0">
      <w:pPr>
        <w:pStyle w:val="NoSpacing"/>
        <w:jc w:val="both"/>
        <w:rPr>
          <w:sz w:val="26"/>
          <w:szCs w:val="26"/>
        </w:rPr>
      </w:pPr>
    </w:p>
    <w:p w14:paraId="50F078B8" w14:textId="77777777" w:rsidR="005766C0" w:rsidRPr="005766C0" w:rsidRDefault="005766C0" w:rsidP="005766C0">
      <w:pPr>
        <w:pStyle w:val="NoSpacing"/>
        <w:jc w:val="both"/>
        <w:rPr>
          <w:sz w:val="26"/>
          <w:szCs w:val="26"/>
        </w:rPr>
      </w:pPr>
    </w:p>
    <w:p w14:paraId="3453FFBD" w14:textId="77777777" w:rsidR="005766C0" w:rsidRPr="009674AB" w:rsidRDefault="005766C0" w:rsidP="005766C0">
      <w:pPr>
        <w:pStyle w:val="NoSpacing"/>
        <w:ind w:left="450" w:right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USE THIS INSTRUCTION FOR CASES IN WHICH THERE IS NO EVIDENCE OF ANY EXCEPTION TO THE APPLICABILITY OF SEC. 941.23.  IF THERE IS EVIDENCE OF AN EXCEPTION, SEE WIS JI</w:t>
      </w:r>
      <w:r w:rsidRPr="009674AB">
        <w:rPr>
          <w:sz w:val="26"/>
          <w:szCs w:val="26"/>
        </w:rPr>
        <w:noBreakHyphen/>
        <w:t>CRIMINAL 1335B.</w:t>
      </w:r>
      <w:r w:rsidRPr="009674AB">
        <w:rPr>
          <w:sz w:val="26"/>
          <w:szCs w:val="26"/>
          <w:vertAlign w:val="superscript"/>
        </w:rPr>
        <w:t>1</w:t>
      </w:r>
    </w:p>
    <w:p w14:paraId="1586C7C9" w14:textId="77777777" w:rsidR="005766C0" w:rsidRPr="009674AB" w:rsidRDefault="005766C0" w:rsidP="005766C0">
      <w:pPr>
        <w:pStyle w:val="NoSpacing"/>
        <w:jc w:val="both"/>
        <w:rPr>
          <w:sz w:val="26"/>
          <w:szCs w:val="26"/>
        </w:rPr>
      </w:pPr>
    </w:p>
    <w:p w14:paraId="6EAB207D" w14:textId="77777777" w:rsidR="005766C0" w:rsidRPr="009674AB" w:rsidRDefault="005766C0" w:rsidP="00E13216">
      <w:pPr>
        <w:pStyle w:val="NoSpacing"/>
        <w:spacing w:line="480" w:lineRule="auto"/>
        <w:jc w:val="center"/>
        <w:rPr>
          <w:sz w:val="26"/>
          <w:szCs w:val="26"/>
        </w:rPr>
      </w:pPr>
      <w:r w:rsidRPr="009674AB">
        <w:rPr>
          <w:b/>
          <w:bCs/>
          <w:sz w:val="26"/>
          <w:szCs w:val="26"/>
        </w:rPr>
        <w:t>Statutory Definition of the Crime</w:t>
      </w:r>
    </w:p>
    <w:p w14:paraId="360A5DA3" w14:textId="77777777" w:rsidR="005766C0" w:rsidRPr="009674AB" w:rsidRDefault="005766C0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Carrying a concealed weapon, as defined in § 941.23 of the Criminal Code of Wisconsin, is committed by any person who carries a concealed and dangerous weapon.</w:t>
      </w:r>
    </w:p>
    <w:p w14:paraId="46B7045D" w14:textId="77777777" w:rsidR="005766C0" w:rsidRPr="009674AB" w:rsidRDefault="005766C0" w:rsidP="00E13216">
      <w:pPr>
        <w:pStyle w:val="NoSpacing"/>
        <w:spacing w:line="480" w:lineRule="auto"/>
        <w:jc w:val="center"/>
        <w:rPr>
          <w:sz w:val="26"/>
          <w:szCs w:val="26"/>
        </w:rPr>
      </w:pPr>
      <w:r w:rsidRPr="009674AB">
        <w:rPr>
          <w:b/>
          <w:bCs/>
          <w:sz w:val="26"/>
          <w:szCs w:val="26"/>
        </w:rPr>
        <w:t>State’s Burden of Proof</w:t>
      </w:r>
    </w:p>
    <w:p w14:paraId="762F4EEE" w14:textId="77777777" w:rsidR="005766C0" w:rsidRPr="009674AB" w:rsidRDefault="005766C0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Before you may find the defendant guilty of this offense, the State must prove by evidence which satisfies you beyond a reasonable doubt that the following three elements were present.</w:t>
      </w:r>
    </w:p>
    <w:p w14:paraId="0FF3F6ED" w14:textId="77777777" w:rsidR="005766C0" w:rsidRPr="009674AB" w:rsidRDefault="005766C0" w:rsidP="00E13216">
      <w:pPr>
        <w:pStyle w:val="NoSpacing"/>
        <w:spacing w:line="480" w:lineRule="auto"/>
        <w:jc w:val="center"/>
        <w:rPr>
          <w:sz w:val="26"/>
          <w:szCs w:val="26"/>
        </w:rPr>
      </w:pPr>
      <w:r w:rsidRPr="009674AB">
        <w:rPr>
          <w:b/>
          <w:bCs/>
          <w:sz w:val="26"/>
          <w:szCs w:val="26"/>
        </w:rPr>
        <w:t>Elements of the Crime That the State Must Prove</w:t>
      </w:r>
    </w:p>
    <w:p w14:paraId="1D549C52" w14:textId="77777777" w:rsidR="005766C0" w:rsidRPr="009674AB" w:rsidRDefault="005766C0" w:rsidP="00E13216">
      <w:pPr>
        <w:pStyle w:val="NoSpacing"/>
        <w:tabs>
          <w:tab w:val="left" w:pos="900"/>
        </w:tabs>
        <w:spacing w:line="480" w:lineRule="auto"/>
        <w:ind w:left="900" w:hanging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1.</w:t>
      </w:r>
      <w:r w:rsidRPr="009674AB">
        <w:rPr>
          <w:sz w:val="26"/>
          <w:szCs w:val="26"/>
        </w:rPr>
        <w:tab/>
        <w:t>The defendant carried</w:t>
      </w:r>
      <w:r w:rsidRPr="009674AB">
        <w:rPr>
          <w:sz w:val="26"/>
          <w:szCs w:val="26"/>
          <w:vertAlign w:val="superscript"/>
        </w:rPr>
        <w:t>2</w:t>
      </w:r>
      <w:r w:rsidRPr="009674AB">
        <w:rPr>
          <w:sz w:val="26"/>
          <w:szCs w:val="26"/>
        </w:rPr>
        <w:t xml:space="preserve"> a dangerous weapon.</w:t>
      </w:r>
    </w:p>
    <w:p w14:paraId="51FDAE6F" w14:textId="77777777" w:rsidR="005766C0" w:rsidRPr="009674AB" w:rsidRDefault="00E13216" w:rsidP="00E13216">
      <w:pPr>
        <w:pStyle w:val="NoSpacing"/>
        <w:tabs>
          <w:tab w:val="left" w:pos="900"/>
        </w:tabs>
        <w:spacing w:line="480" w:lineRule="auto"/>
        <w:ind w:firstLine="90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“Carried”</w:t>
      </w:r>
      <w:r w:rsidR="005766C0" w:rsidRPr="009674AB">
        <w:rPr>
          <w:sz w:val="26"/>
          <w:szCs w:val="26"/>
        </w:rPr>
        <w:t xml:space="preserve"> means went armed with.</w:t>
      </w:r>
    </w:p>
    <w:p w14:paraId="0C19BE74" w14:textId="77777777" w:rsidR="005766C0" w:rsidRPr="009674AB" w:rsidRDefault="005766C0" w:rsidP="00E13216">
      <w:pPr>
        <w:pStyle w:val="NoSpacing"/>
        <w:tabs>
          <w:tab w:val="left" w:pos="900"/>
        </w:tabs>
        <w:spacing w:line="480" w:lineRule="auto"/>
        <w:ind w:left="900" w:hanging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2.</w:t>
      </w:r>
      <w:r w:rsidRPr="009674AB">
        <w:rPr>
          <w:sz w:val="26"/>
          <w:szCs w:val="26"/>
        </w:rPr>
        <w:tab/>
        <w:t>The defendant was aware of the presence of the weapon.</w:t>
      </w:r>
      <w:r w:rsidRPr="009674AB">
        <w:rPr>
          <w:sz w:val="26"/>
          <w:szCs w:val="26"/>
          <w:vertAlign w:val="superscript"/>
        </w:rPr>
        <w:t>3</w:t>
      </w:r>
    </w:p>
    <w:p w14:paraId="52AC31B8" w14:textId="77777777" w:rsidR="005766C0" w:rsidRPr="009674AB" w:rsidRDefault="005766C0" w:rsidP="00E13216">
      <w:pPr>
        <w:pStyle w:val="NoSpacing"/>
        <w:tabs>
          <w:tab w:val="left" w:pos="900"/>
        </w:tabs>
        <w:spacing w:line="480" w:lineRule="auto"/>
        <w:ind w:left="900" w:hanging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3.</w:t>
      </w:r>
      <w:r w:rsidRPr="009674AB">
        <w:rPr>
          <w:sz w:val="26"/>
          <w:szCs w:val="26"/>
        </w:rPr>
        <w:tab/>
        <w:t>The weapon was concealed.</w:t>
      </w:r>
    </w:p>
    <w:p w14:paraId="32FC47EC" w14:textId="77777777" w:rsidR="005766C0" w:rsidRPr="009674AB" w:rsidRDefault="00E13216" w:rsidP="00E13216">
      <w:pPr>
        <w:pStyle w:val="NoSpacing"/>
        <w:spacing w:line="480" w:lineRule="auto"/>
        <w:jc w:val="center"/>
        <w:rPr>
          <w:sz w:val="26"/>
          <w:szCs w:val="26"/>
        </w:rPr>
      </w:pPr>
      <w:r w:rsidRPr="009674AB">
        <w:rPr>
          <w:b/>
          <w:bCs/>
          <w:sz w:val="26"/>
          <w:szCs w:val="26"/>
        </w:rPr>
        <w:t>Meaning of “Went Armed”</w:t>
      </w:r>
    </w:p>
    <w:p w14:paraId="135FE7AD" w14:textId="77777777" w:rsidR="005766C0" w:rsidRPr="009674AB" w:rsidRDefault="00E13216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The phrase “went armed”</w:t>
      </w:r>
      <w:r w:rsidR="005766C0" w:rsidRPr="009674AB">
        <w:rPr>
          <w:sz w:val="26"/>
          <w:szCs w:val="26"/>
        </w:rPr>
        <w:t xml:space="preserve"> means that the weapon must ha</w:t>
      </w:r>
      <w:r w:rsidRPr="009674AB">
        <w:rPr>
          <w:sz w:val="26"/>
          <w:szCs w:val="26"/>
        </w:rPr>
        <w:t>ve been either on the defendant’</w:t>
      </w:r>
      <w:r w:rsidR="005766C0" w:rsidRPr="009674AB">
        <w:rPr>
          <w:sz w:val="26"/>
          <w:szCs w:val="26"/>
        </w:rPr>
        <w:t>s person or that the weapon must</w:t>
      </w:r>
      <w:r w:rsidRPr="009674AB">
        <w:rPr>
          <w:sz w:val="26"/>
          <w:szCs w:val="26"/>
        </w:rPr>
        <w:t xml:space="preserve"> have been within the defendant’</w:t>
      </w:r>
      <w:r w:rsidR="005766C0" w:rsidRPr="009674AB">
        <w:rPr>
          <w:sz w:val="26"/>
          <w:szCs w:val="26"/>
        </w:rPr>
        <w:t>s reach.</w:t>
      </w:r>
      <w:r w:rsidR="005766C0" w:rsidRPr="009674AB">
        <w:rPr>
          <w:sz w:val="26"/>
          <w:szCs w:val="26"/>
          <w:vertAlign w:val="superscript"/>
        </w:rPr>
        <w:t>4</w:t>
      </w:r>
    </w:p>
    <w:p w14:paraId="6147A180" w14:textId="77777777" w:rsidR="00E13216" w:rsidRPr="009674AB" w:rsidRDefault="00E13216" w:rsidP="00E13216">
      <w:pPr>
        <w:pStyle w:val="NoSpacing"/>
        <w:spacing w:line="480" w:lineRule="auto"/>
        <w:jc w:val="center"/>
        <w:rPr>
          <w:b/>
          <w:bCs/>
          <w:sz w:val="26"/>
          <w:szCs w:val="26"/>
        </w:rPr>
      </w:pPr>
    </w:p>
    <w:p w14:paraId="140B9A8C" w14:textId="77777777" w:rsidR="005766C0" w:rsidRPr="009674AB" w:rsidRDefault="00E13216" w:rsidP="00E13216">
      <w:pPr>
        <w:pStyle w:val="NoSpacing"/>
        <w:spacing w:line="480" w:lineRule="auto"/>
        <w:jc w:val="center"/>
        <w:rPr>
          <w:sz w:val="26"/>
          <w:szCs w:val="26"/>
        </w:rPr>
      </w:pPr>
      <w:r w:rsidRPr="009674AB">
        <w:rPr>
          <w:b/>
          <w:bCs/>
          <w:sz w:val="26"/>
          <w:szCs w:val="26"/>
        </w:rPr>
        <w:lastRenderedPageBreak/>
        <w:t>Meaning of “Dangerous Weapon”</w:t>
      </w:r>
    </w:p>
    <w:p w14:paraId="1C34A7AE" w14:textId="77777777" w:rsidR="005766C0" w:rsidRPr="009674AB" w:rsidRDefault="00E13216" w:rsidP="00E13216">
      <w:pPr>
        <w:pStyle w:val="NoSpacing"/>
        <w:tabs>
          <w:tab w:val="left" w:pos="900"/>
        </w:tabs>
        <w:spacing w:line="480" w:lineRule="auto"/>
        <w:ind w:firstLine="90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“Dangerous weapon”</w:t>
      </w:r>
      <w:r w:rsidR="005766C0" w:rsidRPr="009674AB">
        <w:rPr>
          <w:sz w:val="26"/>
          <w:szCs w:val="26"/>
        </w:rPr>
        <w:t xml:space="preserve"> means</w:t>
      </w:r>
      <w:r w:rsidR="005766C0" w:rsidRPr="009674AB">
        <w:rPr>
          <w:sz w:val="26"/>
          <w:szCs w:val="26"/>
          <w:vertAlign w:val="superscript"/>
        </w:rPr>
        <w:t>5</w:t>
      </w:r>
    </w:p>
    <w:p w14:paraId="2B11883E" w14:textId="77777777" w:rsidR="005766C0" w:rsidRPr="009674AB" w:rsidRDefault="005766C0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[any firear</w:t>
      </w:r>
      <w:r w:rsidR="00E13216" w:rsidRPr="009674AB">
        <w:rPr>
          <w:sz w:val="26"/>
          <w:szCs w:val="26"/>
        </w:rPr>
        <w:t xml:space="preserve">m, whether loaded or unloaded. </w:t>
      </w:r>
      <w:r w:rsidRPr="009674AB">
        <w:rPr>
          <w:sz w:val="26"/>
          <w:szCs w:val="26"/>
        </w:rPr>
        <w:t>A firearm is a weapon that acts by force of gunpowder.]</w:t>
      </w:r>
    </w:p>
    <w:p w14:paraId="5AA477AE" w14:textId="77777777" w:rsidR="005766C0" w:rsidRPr="009674AB" w:rsidRDefault="005766C0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[any device designed as a weapon and capable of produci</w:t>
      </w:r>
      <w:r w:rsidR="00E13216" w:rsidRPr="009674AB">
        <w:rPr>
          <w:sz w:val="26"/>
          <w:szCs w:val="26"/>
        </w:rPr>
        <w:t>ng death or great bodily harm. “</w:t>
      </w:r>
      <w:r w:rsidRPr="009674AB">
        <w:rPr>
          <w:sz w:val="26"/>
          <w:szCs w:val="26"/>
        </w:rPr>
        <w:t>Gr</w:t>
      </w:r>
      <w:r w:rsidR="00E13216" w:rsidRPr="009674AB">
        <w:rPr>
          <w:sz w:val="26"/>
          <w:szCs w:val="26"/>
        </w:rPr>
        <w:t>eat bodily harm”</w:t>
      </w:r>
      <w:r w:rsidRPr="009674AB">
        <w:rPr>
          <w:sz w:val="26"/>
          <w:szCs w:val="26"/>
        </w:rPr>
        <w:t xml:space="preserve"> means serious bodily injury.]</w:t>
      </w:r>
    </w:p>
    <w:p w14:paraId="72904126" w14:textId="77777777" w:rsidR="005766C0" w:rsidRPr="009674AB" w:rsidRDefault="005766C0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[any device or instrumentality which in the manner it is used or intended to be used is calculated or likely to produ</w:t>
      </w:r>
      <w:r w:rsidR="00E13216" w:rsidRPr="009674AB">
        <w:rPr>
          <w:sz w:val="26"/>
          <w:szCs w:val="26"/>
        </w:rPr>
        <w:t>ce death or great bodily harm. “Great bodily harm”</w:t>
      </w:r>
      <w:r w:rsidRPr="009674AB">
        <w:rPr>
          <w:sz w:val="26"/>
          <w:szCs w:val="26"/>
        </w:rPr>
        <w:t xml:space="preserve"> means serious bodily injury.]</w:t>
      </w:r>
    </w:p>
    <w:p w14:paraId="23204113" w14:textId="77777777" w:rsidR="005766C0" w:rsidRPr="009674AB" w:rsidRDefault="005766C0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[any elect</w:t>
      </w:r>
      <w:r w:rsidR="00E13216" w:rsidRPr="009674AB">
        <w:rPr>
          <w:sz w:val="26"/>
          <w:szCs w:val="26"/>
        </w:rPr>
        <w:t xml:space="preserve">ric weapon. </w:t>
      </w:r>
      <w:r w:rsidRPr="009674AB">
        <w:rPr>
          <w:sz w:val="26"/>
          <w:szCs w:val="26"/>
        </w:rPr>
        <w:t>An electric weapon is a device designed or used to immobilize or incapacitate a person by the use of electric current.]</w:t>
      </w:r>
    </w:p>
    <w:p w14:paraId="276D2988" w14:textId="77777777" w:rsidR="005766C0" w:rsidRPr="009674AB" w:rsidRDefault="00E13216" w:rsidP="00E13216">
      <w:pPr>
        <w:pStyle w:val="NoSpacing"/>
        <w:spacing w:line="480" w:lineRule="auto"/>
        <w:jc w:val="center"/>
        <w:rPr>
          <w:sz w:val="26"/>
          <w:szCs w:val="26"/>
        </w:rPr>
      </w:pPr>
      <w:r w:rsidRPr="009674AB">
        <w:rPr>
          <w:b/>
          <w:bCs/>
          <w:sz w:val="26"/>
          <w:szCs w:val="26"/>
        </w:rPr>
        <w:t>Meaning of “Concealed”</w:t>
      </w:r>
    </w:p>
    <w:p w14:paraId="21DEFFA7" w14:textId="77777777" w:rsidR="005766C0" w:rsidRPr="009674AB" w:rsidRDefault="00E13216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“Concealed”</w:t>
      </w:r>
      <w:r w:rsidR="005766C0" w:rsidRPr="009674AB">
        <w:rPr>
          <w:sz w:val="26"/>
          <w:szCs w:val="26"/>
        </w:rPr>
        <w:t xml:space="preserve"> means hid</w:t>
      </w:r>
      <w:r w:rsidRPr="009674AB">
        <w:rPr>
          <w:sz w:val="26"/>
          <w:szCs w:val="26"/>
        </w:rPr>
        <w:t xml:space="preserve">den from ordinary observation. </w:t>
      </w:r>
      <w:r w:rsidR="005766C0" w:rsidRPr="009674AB">
        <w:rPr>
          <w:sz w:val="26"/>
          <w:szCs w:val="26"/>
        </w:rPr>
        <w:t>The weapon does not have to be completely hidden.</w:t>
      </w:r>
      <w:r w:rsidR="005766C0" w:rsidRPr="009674AB">
        <w:rPr>
          <w:sz w:val="26"/>
          <w:szCs w:val="26"/>
          <w:vertAlign w:val="superscript"/>
        </w:rPr>
        <w:t>6</w:t>
      </w:r>
    </w:p>
    <w:p w14:paraId="03027AD2" w14:textId="77777777" w:rsidR="005766C0" w:rsidRPr="009674AB" w:rsidRDefault="00E13216" w:rsidP="00E13216">
      <w:pPr>
        <w:pStyle w:val="NoSpacing"/>
        <w:spacing w:line="480" w:lineRule="auto"/>
        <w:jc w:val="center"/>
        <w:rPr>
          <w:sz w:val="26"/>
          <w:szCs w:val="26"/>
        </w:rPr>
      </w:pPr>
      <w:r w:rsidRPr="009674AB">
        <w:rPr>
          <w:b/>
          <w:bCs/>
          <w:sz w:val="26"/>
          <w:szCs w:val="26"/>
        </w:rPr>
        <w:t>Jury’</w:t>
      </w:r>
      <w:r w:rsidR="005766C0" w:rsidRPr="009674AB">
        <w:rPr>
          <w:b/>
          <w:bCs/>
          <w:sz w:val="26"/>
          <w:szCs w:val="26"/>
        </w:rPr>
        <w:t>s Decision</w:t>
      </w:r>
    </w:p>
    <w:p w14:paraId="112E72E7" w14:textId="77777777" w:rsidR="005766C0" w:rsidRPr="009674AB" w:rsidRDefault="005766C0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If you are satisfied beyond a reasonable doubt that all three elements of this offense have been proved, you should find the defendant guilty.</w:t>
      </w:r>
    </w:p>
    <w:p w14:paraId="3DFACCA1" w14:textId="77777777" w:rsidR="005766C0" w:rsidRPr="005766C0" w:rsidRDefault="005766C0" w:rsidP="00E13216">
      <w:pPr>
        <w:pStyle w:val="NoSpacing"/>
        <w:spacing w:line="480" w:lineRule="auto"/>
        <w:ind w:firstLine="450"/>
        <w:jc w:val="both"/>
        <w:rPr>
          <w:sz w:val="26"/>
          <w:szCs w:val="26"/>
        </w:rPr>
      </w:pPr>
      <w:r w:rsidRPr="009674AB">
        <w:rPr>
          <w:sz w:val="26"/>
          <w:szCs w:val="26"/>
        </w:rPr>
        <w:t>If you are not so satisfied, you must find the defendant not guilty.</w:t>
      </w:r>
    </w:p>
    <w:p w14:paraId="59891C9F" w14:textId="77777777" w:rsidR="005766C0" w:rsidRDefault="005766C0" w:rsidP="005766C0">
      <w:pPr>
        <w:pStyle w:val="NoSpacing"/>
        <w:jc w:val="both"/>
        <w:rPr>
          <w:b/>
          <w:bCs/>
          <w:sz w:val="26"/>
          <w:szCs w:val="26"/>
        </w:rPr>
      </w:pPr>
    </w:p>
    <w:p w14:paraId="7C1BDB52" w14:textId="77777777" w:rsidR="00E13216" w:rsidRDefault="00E13216" w:rsidP="005766C0">
      <w:pPr>
        <w:pStyle w:val="NoSpacing"/>
        <w:jc w:val="both"/>
        <w:rPr>
          <w:b/>
          <w:bCs/>
          <w:sz w:val="26"/>
          <w:szCs w:val="26"/>
        </w:rPr>
      </w:pPr>
    </w:p>
    <w:p w14:paraId="53B9D7A4" w14:textId="77777777" w:rsidR="00E13216" w:rsidRDefault="00E13216" w:rsidP="005766C0">
      <w:pPr>
        <w:pStyle w:val="NoSpacing"/>
        <w:jc w:val="both"/>
        <w:rPr>
          <w:b/>
          <w:bCs/>
          <w:sz w:val="26"/>
          <w:szCs w:val="26"/>
        </w:rPr>
      </w:pPr>
    </w:p>
    <w:p w14:paraId="1B929C5A" w14:textId="77777777" w:rsidR="00E13216" w:rsidRPr="005766C0" w:rsidRDefault="00E13216" w:rsidP="005766C0">
      <w:pPr>
        <w:pStyle w:val="NoSpacing"/>
        <w:jc w:val="both"/>
        <w:rPr>
          <w:b/>
          <w:bCs/>
          <w:sz w:val="26"/>
          <w:szCs w:val="26"/>
        </w:rPr>
      </w:pPr>
    </w:p>
    <w:p w14:paraId="6284E024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  <w:r w:rsidRPr="00E13216">
        <w:rPr>
          <w:b/>
          <w:bCs/>
          <w:sz w:val="22"/>
          <w:szCs w:val="22"/>
        </w:rPr>
        <w:lastRenderedPageBreak/>
        <w:t>COMMENT</w:t>
      </w:r>
    </w:p>
    <w:p w14:paraId="1E97AECE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3C19D3A0" w14:textId="676F45A5" w:rsidR="005766C0" w:rsidRPr="00E13216" w:rsidRDefault="009674AB" w:rsidP="00E13216">
      <w:pPr>
        <w:pStyle w:val="NoSpacing"/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Wis JI</w:t>
      </w:r>
      <w:r>
        <w:rPr>
          <w:sz w:val="22"/>
          <w:szCs w:val="22"/>
        </w:rPr>
        <w:noBreakHyphen/>
        <w:t>Criminal</w:t>
      </w:r>
      <w:r w:rsidR="005766C0" w:rsidRPr="00E13216">
        <w:rPr>
          <w:sz w:val="22"/>
          <w:szCs w:val="22"/>
        </w:rPr>
        <w:t> 1335 was originally published in 1966 and revised in 1989, 199</w:t>
      </w:r>
      <w:r w:rsidR="00E13216">
        <w:rPr>
          <w:sz w:val="22"/>
          <w:szCs w:val="22"/>
        </w:rPr>
        <w:t>6, 2003, 2006, 2012, 2016</w:t>
      </w:r>
      <w:r w:rsidR="00001E4D">
        <w:rPr>
          <w:sz w:val="22"/>
          <w:szCs w:val="22"/>
        </w:rPr>
        <w:t xml:space="preserve">, and </w:t>
      </w:r>
      <w:r w:rsidR="00001E4D" w:rsidRPr="009674AB">
        <w:rPr>
          <w:sz w:val="22"/>
          <w:szCs w:val="22"/>
        </w:rPr>
        <w:t>2018</w:t>
      </w:r>
      <w:r w:rsidR="00E13216" w:rsidRPr="009674AB">
        <w:rPr>
          <w:sz w:val="22"/>
          <w:szCs w:val="22"/>
        </w:rPr>
        <w:t xml:space="preserve">. </w:t>
      </w:r>
      <w:r w:rsidR="00001E4D" w:rsidRPr="009674AB">
        <w:rPr>
          <w:sz w:val="22"/>
          <w:szCs w:val="22"/>
        </w:rPr>
        <w:t xml:space="preserve">The 2018 </w:t>
      </w:r>
      <w:r w:rsidR="005766C0" w:rsidRPr="009674AB">
        <w:rPr>
          <w:sz w:val="22"/>
          <w:szCs w:val="22"/>
        </w:rPr>
        <w:t xml:space="preserve">revision </w:t>
      </w:r>
      <w:r w:rsidR="00001E4D" w:rsidRPr="009674AB">
        <w:rPr>
          <w:sz w:val="22"/>
          <w:szCs w:val="22"/>
        </w:rPr>
        <w:t>added to the c</w:t>
      </w:r>
      <w:r w:rsidR="005766C0" w:rsidRPr="009674AB">
        <w:rPr>
          <w:sz w:val="22"/>
          <w:szCs w:val="22"/>
        </w:rPr>
        <w:t>omment and footnote 4.</w:t>
      </w:r>
      <w:r w:rsidR="00001E4D" w:rsidRPr="009674AB">
        <w:t xml:space="preserve"> </w:t>
      </w:r>
      <w:r w:rsidR="00001E4D" w:rsidRPr="009674AB">
        <w:rPr>
          <w:sz w:val="22"/>
          <w:szCs w:val="22"/>
        </w:rPr>
        <w:t xml:space="preserve">This revision was approved by the Committee in </w:t>
      </w:r>
      <w:r w:rsidR="008E5E16">
        <w:rPr>
          <w:sz w:val="22"/>
          <w:szCs w:val="22"/>
        </w:rPr>
        <w:t xml:space="preserve">August </w:t>
      </w:r>
      <w:r w:rsidR="008C213F" w:rsidRPr="009674AB">
        <w:rPr>
          <w:sz w:val="22"/>
          <w:szCs w:val="22"/>
        </w:rPr>
        <w:t>2025. It corrected a formatting error in the comment.</w:t>
      </w:r>
      <w:r w:rsidR="008C213F">
        <w:rPr>
          <w:sz w:val="22"/>
          <w:szCs w:val="22"/>
        </w:rPr>
        <w:t xml:space="preserve"> </w:t>
      </w:r>
    </w:p>
    <w:p w14:paraId="45D88335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1E2E592E" w14:textId="77777777" w:rsidR="005766C0" w:rsidRPr="00E13216" w:rsidRDefault="005766C0" w:rsidP="00E13216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The 2012 revision addressed changes made by 20</w:t>
      </w:r>
      <w:r w:rsidR="00E13216">
        <w:rPr>
          <w:sz w:val="22"/>
          <w:szCs w:val="22"/>
        </w:rPr>
        <w:t xml:space="preserve">11 Wisconsin Act 35. </w:t>
      </w:r>
      <w:r w:rsidRPr="00E13216">
        <w:rPr>
          <w:sz w:val="22"/>
          <w:szCs w:val="22"/>
        </w:rPr>
        <w:t>The previously published instruction included reference to exceptions to the applicability of § 941.23, which are eliminated here; see Wis JI</w:t>
      </w:r>
      <w:r w:rsidRPr="00E13216">
        <w:rPr>
          <w:sz w:val="22"/>
          <w:szCs w:val="22"/>
        </w:rPr>
        <w:noBreakHyphen/>
        <w:t>Criminal 1335B for an instruction to use when evidence of an exception is in the case.</w:t>
      </w:r>
    </w:p>
    <w:p w14:paraId="731FF3C7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2BD810BB" w14:textId="77777777" w:rsidR="005766C0" w:rsidRPr="00E13216" w:rsidRDefault="005766C0" w:rsidP="00E13216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 xml:space="preserve">In </w:t>
      </w:r>
      <w:r w:rsidRPr="00E13216">
        <w:rPr>
          <w:sz w:val="22"/>
          <w:szCs w:val="22"/>
          <w:u w:val="single"/>
        </w:rPr>
        <w:t>State v. Cole</w:t>
      </w:r>
      <w:r w:rsidRPr="00E13216">
        <w:rPr>
          <w:sz w:val="22"/>
          <w:szCs w:val="22"/>
        </w:rPr>
        <w:t>, 2003 WI 112, 264 Wis.2d 520, 665 N.W.2d 328, the Wisconsin Supreme Court held that § 941.23 remains constitutional on its face despite the adoption of a state constit</w:t>
      </w:r>
      <w:r w:rsidR="00E13216">
        <w:rPr>
          <w:sz w:val="22"/>
          <w:szCs w:val="22"/>
        </w:rPr>
        <w:t>utional amendment guaranteeing “</w:t>
      </w:r>
      <w:r w:rsidRPr="00E13216">
        <w:rPr>
          <w:sz w:val="22"/>
          <w:szCs w:val="22"/>
        </w:rPr>
        <w:t>the right to keep and bear arms for security, defense, hunting, recreati</w:t>
      </w:r>
      <w:r w:rsidR="00E13216">
        <w:rPr>
          <w:sz w:val="22"/>
          <w:szCs w:val="22"/>
        </w:rPr>
        <w:t>on or any other lawful purpose.”</w:t>
      </w:r>
      <w:r w:rsidRPr="00E13216">
        <w:rPr>
          <w:sz w:val="22"/>
          <w:szCs w:val="22"/>
        </w:rPr>
        <w:t xml:space="preserve"> Wis. Const. art. I, §</w:t>
      </w:r>
      <w:r w:rsidR="00E13216">
        <w:rPr>
          <w:sz w:val="22"/>
          <w:szCs w:val="22"/>
        </w:rPr>
        <w:t> 25.</w:t>
      </w:r>
      <w:r w:rsidRPr="00E13216">
        <w:rPr>
          <w:sz w:val="22"/>
          <w:szCs w:val="22"/>
        </w:rPr>
        <w:t xml:space="preserve"> However, whether the statute is constitutional as applied must be determ</w:t>
      </w:r>
      <w:r w:rsidR="00E13216">
        <w:rPr>
          <w:sz w:val="22"/>
          <w:szCs w:val="22"/>
        </w:rPr>
        <w:t>ined on a case-by-case basis: “</w:t>
      </w:r>
      <w:r w:rsidRPr="00E13216">
        <w:rPr>
          <w:sz w:val="22"/>
          <w:szCs w:val="22"/>
        </w:rPr>
        <w:t>. . . only if the public benefit in this exercise of the police power is substantia</w:t>
      </w:r>
      <w:r w:rsidR="00E13216">
        <w:rPr>
          <w:sz w:val="22"/>
          <w:szCs w:val="22"/>
        </w:rPr>
        <w:t>lly outweighed by an individual’</w:t>
      </w:r>
      <w:r w:rsidRPr="00E13216">
        <w:rPr>
          <w:sz w:val="22"/>
          <w:szCs w:val="22"/>
        </w:rPr>
        <w:t xml:space="preserve">s need to conceal a weapon in the exercise of the right to bear arms will an otherwise valid restriction on that right </w:t>
      </w:r>
      <w:r w:rsidR="00E13216">
        <w:rPr>
          <w:sz w:val="22"/>
          <w:szCs w:val="22"/>
        </w:rPr>
        <w:t xml:space="preserve">be unconstitutional as applied.” </w:t>
      </w:r>
      <w:r w:rsidRPr="00E13216">
        <w:rPr>
          <w:sz w:val="22"/>
          <w:szCs w:val="22"/>
          <w:u w:val="single"/>
        </w:rPr>
        <w:t>State v. Hamdan</w:t>
      </w:r>
      <w:r w:rsidRPr="00E13216">
        <w:rPr>
          <w:sz w:val="22"/>
          <w:szCs w:val="22"/>
        </w:rPr>
        <w:t>, 2003 WI 113, ¶</w:t>
      </w:r>
      <w:r w:rsidR="00E13216">
        <w:rPr>
          <w:sz w:val="22"/>
          <w:szCs w:val="22"/>
        </w:rPr>
        <w:t xml:space="preserve">46. </w:t>
      </w:r>
      <w:r w:rsidRPr="00E13216">
        <w:rPr>
          <w:sz w:val="22"/>
          <w:szCs w:val="22"/>
        </w:rPr>
        <w:t>For cases invol</w:t>
      </w:r>
      <w:r w:rsidR="00E13216">
        <w:rPr>
          <w:sz w:val="22"/>
          <w:szCs w:val="22"/>
        </w:rPr>
        <w:t>ving this “constitutional defense,”</w:t>
      </w:r>
      <w:r w:rsidRPr="00E13216">
        <w:rPr>
          <w:sz w:val="22"/>
          <w:szCs w:val="22"/>
        </w:rPr>
        <w:t xml:space="preserve"> see Wis JI</w:t>
      </w:r>
      <w:r w:rsidRPr="00E13216">
        <w:rPr>
          <w:sz w:val="22"/>
          <w:szCs w:val="22"/>
        </w:rPr>
        <w:noBreakHyphen/>
        <w:t>Criminal 1335A which provides a separate instruction.</w:t>
      </w:r>
    </w:p>
    <w:p w14:paraId="1B069E18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67EBAF1F" w14:textId="77777777" w:rsidR="005766C0" w:rsidRPr="00E13216" w:rsidRDefault="005766C0" w:rsidP="00E13216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  <w:u w:val="single"/>
        </w:rPr>
        <w:t>Hamdan</w:t>
      </w:r>
      <w:r w:rsidRPr="00E13216">
        <w:rPr>
          <w:sz w:val="22"/>
          <w:szCs w:val="22"/>
        </w:rPr>
        <w:t xml:space="preserve"> also held that prior case law interpreting § 941.23 continues to be viable authority after the adoption of the constitutional amendment, specifically endors</w:t>
      </w:r>
      <w:r w:rsidR="00E13216">
        <w:rPr>
          <w:sz w:val="22"/>
          <w:szCs w:val="22"/>
        </w:rPr>
        <w:t xml:space="preserve">ing the interpretations of the “going armed” element. </w:t>
      </w:r>
      <w:r w:rsidRPr="00E13216">
        <w:rPr>
          <w:sz w:val="22"/>
          <w:szCs w:val="22"/>
        </w:rPr>
        <w:t>2003 WI 113, ¶¶</w:t>
      </w:r>
      <w:r w:rsidR="00E13216">
        <w:rPr>
          <w:sz w:val="22"/>
          <w:szCs w:val="22"/>
        </w:rPr>
        <w:t>21</w:t>
      </w:r>
      <w:r w:rsidR="00E13216">
        <w:rPr>
          <w:sz w:val="22"/>
          <w:szCs w:val="22"/>
        </w:rPr>
        <w:noBreakHyphen/>
        <w:t xml:space="preserve">28. </w:t>
      </w:r>
      <w:r w:rsidRPr="00E13216">
        <w:rPr>
          <w:sz w:val="22"/>
          <w:szCs w:val="22"/>
        </w:rPr>
        <w:t>See footnote 2, below.</w:t>
      </w:r>
    </w:p>
    <w:p w14:paraId="57AA1F23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34796A9E" w14:textId="77777777" w:rsidR="005766C0" w:rsidRPr="00E13216" w:rsidRDefault="005766C0" w:rsidP="00E13216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  <w:u w:val="single"/>
        </w:rPr>
        <w:t>Hamdan</w:t>
      </w:r>
      <w:r w:rsidRPr="00E13216">
        <w:rPr>
          <w:sz w:val="22"/>
          <w:szCs w:val="22"/>
        </w:rPr>
        <w:t xml:space="preserve"> also reaffirmed the decisions in cases considering generally appl</w:t>
      </w:r>
      <w:r w:rsidR="00E13216">
        <w:rPr>
          <w:sz w:val="22"/>
          <w:szCs w:val="22"/>
        </w:rPr>
        <w:t xml:space="preserve">icable privileges or defenses. </w:t>
      </w:r>
      <w:r w:rsidRPr="00E13216">
        <w:rPr>
          <w:sz w:val="22"/>
          <w:szCs w:val="22"/>
        </w:rPr>
        <w:t>2003 WI 113, ¶</w:t>
      </w:r>
      <w:r w:rsidR="00E13216">
        <w:rPr>
          <w:sz w:val="22"/>
          <w:szCs w:val="22"/>
        </w:rPr>
        <w:t xml:space="preserve">37. </w:t>
      </w:r>
      <w:r w:rsidRPr="00E13216">
        <w:rPr>
          <w:sz w:val="22"/>
          <w:szCs w:val="22"/>
        </w:rPr>
        <w:t>While a privilege like self</w:t>
      </w:r>
      <w:r w:rsidRPr="00E13216">
        <w:rPr>
          <w:sz w:val="22"/>
          <w:szCs w:val="22"/>
        </w:rPr>
        <w:noBreakHyphen/>
        <w:t>defense may potentially apply to charges under § 941.23, as a practical matter it may be difficult for the facts of a pa</w:t>
      </w:r>
      <w:r w:rsidR="00C727AB">
        <w:rPr>
          <w:sz w:val="22"/>
          <w:szCs w:val="22"/>
        </w:rPr>
        <w:t xml:space="preserve">rticular case to support them. </w:t>
      </w:r>
      <w:r w:rsidRPr="00E13216">
        <w:rPr>
          <w:sz w:val="22"/>
          <w:szCs w:val="22"/>
          <w:u w:val="single"/>
        </w:rPr>
        <w:t xml:space="preserve">State v. </w:t>
      </w:r>
      <w:proofErr w:type="spellStart"/>
      <w:r w:rsidRPr="00E13216">
        <w:rPr>
          <w:sz w:val="22"/>
          <w:szCs w:val="22"/>
          <w:u w:val="single"/>
        </w:rPr>
        <w:t>Dundon</w:t>
      </w:r>
      <w:proofErr w:type="spellEnd"/>
      <w:r w:rsidRPr="00E13216">
        <w:rPr>
          <w:sz w:val="22"/>
          <w:szCs w:val="22"/>
        </w:rPr>
        <w:t xml:space="preserve">, 226 Wis.2d 654, 594 N.W.2d 780 (1999); and, </w:t>
      </w:r>
      <w:r w:rsidRPr="00E13216">
        <w:rPr>
          <w:sz w:val="22"/>
          <w:szCs w:val="22"/>
          <w:u w:val="single"/>
        </w:rPr>
        <w:t>State v. Nollie</w:t>
      </w:r>
      <w:r w:rsidRPr="00E13216">
        <w:rPr>
          <w:sz w:val="22"/>
          <w:szCs w:val="22"/>
        </w:rPr>
        <w:t>, 2002 WI 4, 249 Wis.2</w:t>
      </w:r>
      <w:r w:rsidR="00C727AB">
        <w:rPr>
          <w:sz w:val="22"/>
          <w:szCs w:val="22"/>
        </w:rPr>
        <w:t xml:space="preserve">d 538, 638 N.W.2d 280. </w:t>
      </w:r>
      <w:proofErr w:type="spellStart"/>
      <w:r w:rsidRPr="00E13216">
        <w:rPr>
          <w:sz w:val="22"/>
          <w:szCs w:val="22"/>
          <w:u w:val="single"/>
        </w:rPr>
        <w:t>Dundon</w:t>
      </w:r>
      <w:proofErr w:type="spellEnd"/>
      <w:r w:rsidRPr="00E13216">
        <w:rPr>
          <w:sz w:val="22"/>
          <w:szCs w:val="22"/>
        </w:rPr>
        <w:t xml:space="preserve"> also declined to adopt a special privilege, like the one recognized for possession of a firearm by a felon in </w:t>
      </w:r>
      <w:r w:rsidRPr="00E13216">
        <w:rPr>
          <w:sz w:val="22"/>
          <w:szCs w:val="22"/>
          <w:u w:val="single"/>
        </w:rPr>
        <w:t>State v. Coleman</w:t>
      </w:r>
      <w:r w:rsidRPr="00E13216">
        <w:rPr>
          <w:sz w:val="22"/>
          <w:szCs w:val="22"/>
        </w:rPr>
        <w:t>, 206 Wis.2d 199, 556 N.W.2d 701 (1996).</w:t>
      </w:r>
    </w:p>
    <w:p w14:paraId="30FBEE44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4BF06964" w14:textId="77777777" w:rsidR="005766C0" w:rsidRPr="00E13216" w:rsidRDefault="005766C0" w:rsidP="00C727AB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I</w:t>
      </w:r>
      <w:r w:rsidR="00C727AB">
        <w:rPr>
          <w:sz w:val="22"/>
          <w:szCs w:val="22"/>
        </w:rPr>
        <w:t>n a decision that preceded the “</w:t>
      </w:r>
      <w:r w:rsidRPr="00E13216">
        <w:rPr>
          <w:sz w:val="22"/>
          <w:szCs w:val="22"/>
        </w:rPr>
        <w:t>right to bear arms amend</w:t>
      </w:r>
      <w:r w:rsidR="00C727AB">
        <w:rPr>
          <w:sz w:val="22"/>
          <w:szCs w:val="22"/>
        </w:rPr>
        <w:t>ment”</w:t>
      </w:r>
      <w:r w:rsidRPr="00E13216">
        <w:rPr>
          <w:sz w:val="22"/>
          <w:szCs w:val="22"/>
        </w:rPr>
        <w:t xml:space="preserve"> the court of appeals had concluded that the creation of an exception for tavern owners in § 941.237, Carrying handgun where alcohol beverages may be sold and consumed, does not preclude the application of § 941.23 to a tavern owner who carries a concealed h</w:t>
      </w:r>
      <w:r w:rsidR="00C727AB">
        <w:rPr>
          <w:sz w:val="22"/>
          <w:szCs w:val="22"/>
        </w:rPr>
        <w:t xml:space="preserve">andgun on the tavern premises. </w:t>
      </w:r>
      <w:r w:rsidRPr="00E13216">
        <w:rPr>
          <w:sz w:val="22"/>
          <w:szCs w:val="22"/>
          <w:u w:val="single"/>
        </w:rPr>
        <w:t>State v. Mata</w:t>
      </w:r>
      <w:r w:rsidRPr="00E13216">
        <w:rPr>
          <w:sz w:val="22"/>
          <w:szCs w:val="22"/>
        </w:rPr>
        <w:t>, 199 Wis.2d 315, 5</w:t>
      </w:r>
      <w:r w:rsidR="00C727AB">
        <w:rPr>
          <w:sz w:val="22"/>
          <w:szCs w:val="22"/>
        </w:rPr>
        <w:t xml:space="preserve">44 N.W.2d 528 (Ct. App. 1996). </w:t>
      </w:r>
      <w:r w:rsidRPr="00E13216">
        <w:rPr>
          <w:sz w:val="22"/>
          <w:szCs w:val="22"/>
        </w:rPr>
        <w:t xml:space="preserve">In </w:t>
      </w:r>
      <w:r w:rsidRPr="00E13216">
        <w:rPr>
          <w:sz w:val="22"/>
          <w:szCs w:val="22"/>
          <w:u w:val="single"/>
        </w:rPr>
        <w:t>Hamdan</w:t>
      </w:r>
      <w:r w:rsidR="00C727AB">
        <w:rPr>
          <w:sz w:val="22"/>
          <w:szCs w:val="22"/>
        </w:rPr>
        <w:t>, the court noted that “</w:t>
      </w:r>
      <w:r w:rsidRPr="00E13216">
        <w:rPr>
          <w:sz w:val="22"/>
          <w:szCs w:val="22"/>
        </w:rPr>
        <w:t>[</w:t>
      </w:r>
      <w:proofErr w:type="spellStart"/>
      <w:r w:rsidRPr="00E13216">
        <w:rPr>
          <w:sz w:val="22"/>
          <w:szCs w:val="22"/>
        </w:rPr>
        <w:t>i</w:t>
      </w:r>
      <w:proofErr w:type="spellEnd"/>
      <w:r w:rsidRPr="00E13216">
        <w:rPr>
          <w:sz w:val="22"/>
          <w:szCs w:val="22"/>
        </w:rPr>
        <w:t xml:space="preserve">]n light of Article I, Section 25, this analysis in </w:t>
      </w:r>
      <w:r w:rsidRPr="00E13216">
        <w:rPr>
          <w:sz w:val="22"/>
          <w:szCs w:val="22"/>
          <w:u w:val="single"/>
        </w:rPr>
        <w:t>Mata</w:t>
      </w:r>
      <w:r w:rsidR="00C727AB">
        <w:rPr>
          <w:sz w:val="22"/>
          <w:szCs w:val="22"/>
        </w:rPr>
        <w:t xml:space="preserve"> is suspect.”</w:t>
      </w:r>
      <w:r w:rsidRPr="00E13216">
        <w:rPr>
          <w:sz w:val="22"/>
          <w:szCs w:val="22"/>
        </w:rPr>
        <w:t xml:space="preserve">  </w:t>
      </w:r>
      <w:r w:rsidRPr="00E13216">
        <w:rPr>
          <w:sz w:val="22"/>
          <w:szCs w:val="22"/>
          <w:u w:val="single"/>
        </w:rPr>
        <w:t>Hamdan</w:t>
      </w:r>
      <w:r w:rsidRPr="00E13216">
        <w:rPr>
          <w:sz w:val="22"/>
          <w:szCs w:val="22"/>
        </w:rPr>
        <w:t xml:space="preserve">, </w:t>
      </w:r>
      <w:r w:rsidRPr="00E13216">
        <w:rPr>
          <w:sz w:val="22"/>
          <w:szCs w:val="22"/>
          <w:u w:val="single"/>
        </w:rPr>
        <w:t>supra</w:t>
      </w:r>
      <w:r w:rsidRPr="00E13216">
        <w:rPr>
          <w:sz w:val="22"/>
          <w:szCs w:val="22"/>
        </w:rPr>
        <w:t>, at footnote 32.</w:t>
      </w:r>
    </w:p>
    <w:p w14:paraId="6107EE21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084748CD" w14:textId="2E275D41" w:rsidR="005766C0" w:rsidRPr="00E13216" w:rsidRDefault="005766C0" w:rsidP="00C727AB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In 2005, the Committee received an inquiry about the relationship between carrying a concealed weapon in violation of § 941.23 and the rules relating to carrying cased guns.  At that time</w:t>
      </w:r>
      <w:r w:rsidR="00345E73">
        <w:rPr>
          <w:sz w:val="22"/>
          <w:szCs w:val="22"/>
        </w:rPr>
        <w:t xml:space="preserve">, </w:t>
      </w:r>
      <w:r w:rsidRPr="00E13216">
        <w:rPr>
          <w:sz w:val="22"/>
          <w:szCs w:val="22"/>
        </w:rPr>
        <w:t xml:space="preserve">§ 167.31(2)(b) provided that "no person may place, possess, or transport a firearm . . . in or on a vehicle unless the firearm is unloaded and encased . . ."  This implied that a person may possess a firearm in a vehicle if it is unloaded and encased, but that may conflict with the interpretation of § 941.23 in </w:t>
      </w:r>
      <w:r w:rsidRPr="00E13216">
        <w:rPr>
          <w:sz w:val="22"/>
          <w:szCs w:val="22"/>
          <w:u w:val="single"/>
        </w:rPr>
        <w:t>State v. Walls</w:t>
      </w:r>
      <w:r w:rsidRPr="00E13216">
        <w:rPr>
          <w:sz w:val="22"/>
          <w:szCs w:val="22"/>
        </w:rPr>
        <w:t>, 190 Wis.2d 65, 71</w:t>
      </w:r>
      <w:r w:rsidRPr="00E13216">
        <w:rPr>
          <w:sz w:val="22"/>
          <w:szCs w:val="22"/>
        </w:rPr>
        <w:noBreakHyphen/>
        <w:t>72, 526 N.W.2d 765 (Ct. App. 1994), where the court held that:</w:t>
      </w:r>
    </w:p>
    <w:p w14:paraId="31C087A9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42213829" w14:textId="77777777" w:rsidR="005766C0" w:rsidRPr="00E13216" w:rsidRDefault="005766C0" w:rsidP="00C727AB">
      <w:pPr>
        <w:pStyle w:val="NoSpacing"/>
        <w:ind w:left="450" w:right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A person is guilty of carrying a concealed</w:t>
      </w:r>
      <w:r w:rsidR="00C727AB">
        <w:rPr>
          <w:sz w:val="22"/>
          <w:szCs w:val="22"/>
        </w:rPr>
        <w:t xml:space="preserve"> weapon in an automobile where:</w:t>
      </w:r>
      <w:r w:rsidRPr="00E13216">
        <w:rPr>
          <w:sz w:val="22"/>
          <w:szCs w:val="22"/>
        </w:rPr>
        <w:t xml:space="preserve"> (1) the weapon is located inside a vehi</w:t>
      </w:r>
      <w:r w:rsidR="00C727AB">
        <w:rPr>
          <w:sz w:val="22"/>
          <w:szCs w:val="22"/>
        </w:rPr>
        <w:t>cle and is within the defendant’</w:t>
      </w:r>
      <w:r w:rsidRPr="00E13216">
        <w:rPr>
          <w:sz w:val="22"/>
          <w:szCs w:val="22"/>
        </w:rPr>
        <w:t xml:space="preserve">s reach; (2) the defendant is aware of the presence of the weapon; and (3) the weapon is concealed, or hidden from ordinary view – </w:t>
      </w:r>
      <w:r w:rsidRPr="00E13216">
        <w:rPr>
          <w:sz w:val="22"/>
          <w:szCs w:val="22"/>
        </w:rPr>
        <w:lastRenderedPageBreak/>
        <w:t>meaning it is indiscernible from ordinary observation of a person located outside and within the immediate vicinity of the vehicle.</w:t>
      </w:r>
    </w:p>
    <w:p w14:paraId="0F74479A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7AEB9617" w14:textId="327BFBAF" w:rsidR="005766C0" w:rsidRPr="00E13216" w:rsidRDefault="005766C0" w:rsidP="00C727AB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The Committee concluded that resolving this conflict was beyond the s</w:t>
      </w:r>
      <w:r w:rsidR="00C727AB">
        <w:rPr>
          <w:sz w:val="22"/>
          <w:szCs w:val="22"/>
        </w:rPr>
        <w:t xml:space="preserve">cope of the jury instructions. </w:t>
      </w:r>
      <w:r w:rsidRPr="00E13216">
        <w:rPr>
          <w:sz w:val="22"/>
          <w:szCs w:val="22"/>
        </w:rPr>
        <w:t xml:space="preserve">The Wisconsin Supreme Court addressed this issue in </w:t>
      </w:r>
      <w:r w:rsidRPr="00E13216">
        <w:rPr>
          <w:sz w:val="22"/>
          <w:szCs w:val="22"/>
          <w:u w:val="single"/>
        </w:rPr>
        <w:t xml:space="preserve">State v. </w:t>
      </w:r>
      <w:proofErr w:type="spellStart"/>
      <w:r w:rsidRPr="00E13216">
        <w:rPr>
          <w:sz w:val="22"/>
          <w:szCs w:val="22"/>
          <w:u w:val="single"/>
        </w:rPr>
        <w:t>Grandberry</w:t>
      </w:r>
      <w:proofErr w:type="spellEnd"/>
      <w:r w:rsidRPr="00E13216">
        <w:rPr>
          <w:sz w:val="22"/>
          <w:szCs w:val="22"/>
        </w:rPr>
        <w:t>, 2018 WI 29, 380 Wis.2d 541, 910 N.W.2d 214, conclud</w:t>
      </w:r>
      <w:r w:rsidR="00C727AB">
        <w:rPr>
          <w:sz w:val="22"/>
          <w:szCs w:val="22"/>
        </w:rPr>
        <w:t xml:space="preserve">ing that there is no conflict. </w:t>
      </w:r>
      <w:r w:rsidRPr="00E13216">
        <w:rPr>
          <w:sz w:val="22"/>
          <w:szCs w:val="22"/>
        </w:rPr>
        <w:t xml:space="preserve">During a traffic stop, </w:t>
      </w:r>
      <w:proofErr w:type="spellStart"/>
      <w:r w:rsidRPr="00E13216">
        <w:rPr>
          <w:sz w:val="22"/>
          <w:szCs w:val="22"/>
        </w:rPr>
        <w:t>Grandberry</w:t>
      </w:r>
      <w:proofErr w:type="spellEnd"/>
      <w:r w:rsidRPr="00E13216">
        <w:rPr>
          <w:sz w:val="22"/>
          <w:szCs w:val="22"/>
        </w:rPr>
        <w:t xml:space="preserve"> disclosed to police that he had a handgun in the glo</w:t>
      </w:r>
      <w:r w:rsidR="00C727AB">
        <w:rPr>
          <w:sz w:val="22"/>
          <w:szCs w:val="22"/>
        </w:rPr>
        <w:t xml:space="preserve">ve compartment of his vehicle. </w:t>
      </w:r>
      <w:r w:rsidRPr="00E13216">
        <w:rPr>
          <w:sz w:val="22"/>
          <w:szCs w:val="22"/>
        </w:rPr>
        <w:t>He was charged with and convicted o</w:t>
      </w:r>
      <w:r w:rsidR="00C727AB">
        <w:rPr>
          <w:sz w:val="22"/>
          <w:szCs w:val="22"/>
        </w:rPr>
        <w:t>f carrying a concealed weapon.</w:t>
      </w:r>
      <w:r w:rsidR="00A70DCB">
        <w:rPr>
          <w:sz w:val="22"/>
          <w:szCs w:val="22"/>
        </w:rPr>
        <w:t xml:space="preserve"> </w:t>
      </w:r>
      <w:r w:rsidRPr="00E13216">
        <w:rPr>
          <w:sz w:val="22"/>
          <w:szCs w:val="22"/>
        </w:rPr>
        <w:t xml:space="preserve">He appealed on the ground that </w:t>
      </w:r>
      <w:r w:rsidR="00A70DCB">
        <w:rPr>
          <w:sz w:val="22"/>
          <w:szCs w:val="22"/>
        </w:rPr>
        <w:t xml:space="preserve">he </w:t>
      </w:r>
      <w:r w:rsidRPr="00E13216">
        <w:rPr>
          <w:sz w:val="22"/>
          <w:szCs w:val="22"/>
        </w:rPr>
        <w:t>was in compliance with §</w:t>
      </w:r>
      <w:r w:rsidR="00C727AB">
        <w:rPr>
          <w:sz w:val="22"/>
          <w:szCs w:val="22"/>
        </w:rPr>
        <w:t xml:space="preserve"> 167.31. </w:t>
      </w:r>
      <w:r w:rsidRPr="00E13216">
        <w:rPr>
          <w:sz w:val="22"/>
          <w:szCs w:val="22"/>
        </w:rPr>
        <w:t>The supreme court affirmed the conv</w:t>
      </w:r>
      <w:r w:rsidR="00C727AB">
        <w:rPr>
          <w:sz w:val="22"/>
          <w:szCs w:val="22"/>
        </w:rPr>
        <w:t>iction: “</w:t>
      </w:r>
      <w:r w:rsidRPr="00E13216">
        <w:rPr>
          <w:sz w:val="22"/>
          <w:szCs w:val="22"/>
        </w:rPr>
        <w:t xml:space="preserve">We hold that the Concealed Carry Statute and the Safe Harbor Statute are not in conflict because </w:t>
      </w:r>
      <w:proofErr w:type="spellStart"/>
      <w:r w:rsidRPr="00E13216">
        <w:rPr>
          <w:sz w:val="22"/>
          <w:szCs w:val="22"/>
        </w:rPr>
        <w:t>Grandberry</w:t>
      </w:r>
      <w:proofErr w:type="spellEnd"/>
      <w:r w:rsidRPr="00E13216">
        <w:rPr>
          <w:sz w:val="22"/>
          <w:szCs w:val="22"/>
        </w:rPr>
        <w:t xml:space="preserve"> could have complied with both by either obtaining a license to carry a concealed weapon pursuant to Wis. Stat. § 175.60 . . . or by placing h</w:t>
      </w:r>
      <w:r w:rsidR="00C727AB">
        <w:rPr>
          <w:sz w:val="22"/>
          <w:szCs w:val="22"/>
        </w:rPr>
        <w:t>is loaded handgun out of reach.”</w:t>
      </w:r>
      <w:r w:rsidRPr="00E13216">
        <w:rPr>
          <w:sz w:val="22"/>
          <w:szCs w:val="22"/>
        </w:rPr>
        <w:t xml:space="preserve"> 2018 WI 29, ¶</w:t>
      </w:r>
      <w:r w:rsidR="00C727AB">
        <w:rPr>
          <w:sz w:val="22"/>
          <w:szCs w:val="22"/>
        </w:rPr>
        <w:t xml:space="preserve">3. </w:t>
      </w:r>
      <w:r w:rsidRPr="00E13216">
        <w:rPr>
          <w:sz w:val="22"/>
          <w:szCs w:val="22"/>
        </w:rPr>
        <w:t>The court also held that the alleged conflict between the two statute</w:t>
      </w:r>
      <w:r w:rsidR="00B95056">
        <w:rPr>
          <w:sz w:val="22"/>
          <w:szCs w:val="22"/>
        </w:rPr>
        <w:t>s</w:t>
      </w:r>
      <w:r w:rsidRPr="00E13216">
        <w:rPr>
          <w:sz w:val="22"/>
          <w:szCs w:val="22"/>
        </w:rPr>
        <w:t xml:space="preserve"> did not make the prohibition on carrying a concealed wea</w:t>
      </w:r>
      <w:r w:rsidR="00C727AB">
        <w:rPr>
          <w:sz w:val="22"/>
          <w:szCs w:val="22"/>
        </w:rPr>
        <w:t xml:space="preserve">pon unconstitutionally vague: </w:t>
      </w:r>
      <w:r w:rsidR="00B95056">
        <w:rPr>
          <w:sz w:val="22"/>
          <w:szCs w:val="22"/>
        </w:rPr>
        <w:t>“</w:t>
      </w:r>
      <w:r w:rsidR="00B95056" w:rsidRPr="00E13216">
        <w:rPr>
          <w:sz w:val="22"/>
          <w:szCs w:val="22"/>
        </w:rPr>
        <w:t>. . .</w:t>
      </w:r>
      <w:r w:rsidRPr="00E13216">
        <w:rPr>
          <w:sz w:val="22"/>
          <w:szCs w:val="22"/>
        </w:rPr>
        <w:t xml:space="preserve"> a person of ordinary intelligence has sufficient notice that carrying a concealed and dangerous weapon is unlawful unless one of the exceptions in the C</w:t>
      </w:r>
      <w:r w:rsidR="00C727AB">
        <w:rPr>
          <w:sz w:val="22"/>
          <w:szCs w:val="22"/>
        </w:rPr>
        <w:t>oncealed Carry Statute applies.”</w:t>
      </w:r>
      <w:r w:rsidRPr="00E13216">
        <w:rPr>
          <w:sz w:val="22"/>
          <w:szCs w:val="22"/>
        </w:rPr>
        <w:t xml:space="preserve"> ¶4.</w:t>
      </w:r>
    </w:p>
    <w:p w14:paraId="3AE9E492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39F28464" w14:textId="77777777" w:rsidR="005766C0" w:rsidRPr="00E13216" w:rsidRDefault="005766C0" w:rsidP="00C727AB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 xml:space="preserve">Section 167.31 was amended by </w:t>
      </w:r>
      <w:r w:rsidR="00C727AB">
        <w:rPr>
          <w:sz w:val="22"/>
          <w:szCs w:val="22"/>
        </w:rPr>
        <w:t xml:space="preserve">2011 Wisconsin Acts 35 and 51. </w:t>
      </w:r>
      <w:r w:rsidRPr="00E13216">
        <w:rPr>
          <w:sz w:val="22"/>
          <w:szCs w:val="22"/>
        </w:rPr>
        <w:t>An exception was created that applies wh</w:t>
      </w:r>
      <w:r w:rsidR="00C727AB">
        <w:rPr>
          <w:sz w:val="22"/>
          <w:szCs w:val="22"/>
        </w:rPr>
        <w:t>ere “</w:t>
      </w:r>
      <w:r w:rsidRPr="00E13216">
        <w:rPr>
          <w:sz w:val="22"/>
          <w:szCs w:val="22"/>
        </w:rPr>
        <w:t>the firea</w:t>
      </w:r>
      <w:r w:rsidR="00C727AB">
        <w:rPr>
          <w:sz w:val="22"/>
          <w:szCs w:val="22"/>
        </w:rPr>
        <w:t>rm is unloaded or is a handgun.”</w:t>
      </w:r>
      <w:r w:rsidRPr="00E13216">
        <w:rPr>
          <w:sz w:val="22"/>
          <w:szCs w:val="22"/>
        </w:rPr>
        <w:t xml:space="preserve"> § 167.31(2)(b)1.</w:t>
      </w:r>
    </w:p>
    <w:p w14:paraId="27CDB184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191FEFD8" w14:textId="77777777" w:rsidR="005766C0" w:rsidRPr="00E13216" w:rsidRDefault="005766C0" w:rsidP="00C727AB">
      <w:pPr>
        <w:pStyle w:val="NoSpacing"/>
        <w:tabs>
          <w:tab w:val="left" w:pos="900"/>
        </w:tabs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footnoteRef/>
      </w:r>
      <w:r w:rsidR="00C727AB">
        <w:rPr>
          <w:sz w:val="22"/>
          <w:szCs w:val="22"/>
        </w:rPr>
        <w:t>.</w:t>
      </w:r>
      <w:r w:rsidR="00C727AB">
        <w:rPr>
          <w:sz w:val="22"/>
          <w:szCs w:val="22"/>
        </w:rPr>
        <w:tab/>
      </w:r>
      <w:r w:rsidRPr="00E13216">
        <w:rPr>
          <w:sz w:val="22"/>
          <w:szCs w:val="22"/>
        </w:rPr>
        <w:t>This instruction is drafted for a case where there is no evidence of an exception to the applicability of §</w:t>
      </w:r>
      <w:r w:rsidR="00C727AB">
        <w:rPr>
          <w:sz w:val="22"/>
          <w:szCs w:val="22"/>
        </w:rPr>
        <w:t xml:space="preserve"> 941.23. </w:t>
      </w:r>
      <w:r w:rsidRPr="00E13216">
        <w:rPr>
          <w:sz w:val="22"/>
          <w:szCs w:val="22"/>
        </w:rPr>
        <w:t>The statute has always had an</w:t>
      </w:r>
      <w:r w:rsidR="00C727AB">
        <w:rPr>
          <w:sz w:val="22"/>
          <w:szCs w:val="22"/>
        </w:rPr>
        <w:t xml:space="preserve"> exception for peace officers. </w:t>
      </w:r>
      <w:r w:rsidRPr="00E13216">
        <w:rPr>
          <w:sz w:val="22"/>
          <w:szCs w:val="22"/>
        </w:rPr>
        <w:t>2011 Wisconsin Act 35 created four additional exceptions – see § 941.23(2)(</w:t>
      </w:r>
      <w:proofErr w:type="gramStart"/>
      <w:r w:rsidRPr="00E13216">
        <w:rPr>
          <w:sz w:val="22"/>
          <w:szCs w:val="22"/>
        </w:rPr>
        <w:t>a)</w:t>
      </w:r>
      <w:r w:rsidRPr="00E13216">
        <w:rPr>
          <w:sz w:val="22"/>
          <w:szCs w:val="22"/>
        </w:rPr>
        <w:noBreakHyphen/>
      </w:r>
      <w:proofErr w:type="gramEnd"/>
      <w:r w:rsidRPr="00E13216">
        <w:rPr>
          <w:sz w:val="22"/>
          <w:szCs w:val="22"/>
        </w:rPr>
        <w:t>(e):</w:t>
      </w:r>
    </w:p>
    <w:p w14:paraId="7940F19B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4B81B3BB" w14:textId="77777777" w:rsidR="005766C0" w:rsidRPr="00E13216" w:rsidRDefault="005766C0" w:rsidP="00C727AB">
      <w:pPr>
        <w:pStyle w:val="NoSpacing"/>
        <w:numPr>
          <w:ilvl w:val="0"/>
          <w:numId w:val="2"/>
        </w:numPr>
        <w:jc w:val="both"/>
        <w:rPr>
          <w:sz w:val="22"/>
          <w:szCs w:val="22"/>
        </w:rPr>
      </w:pPr>
      <w:r w:rsidRPr="00E13216">
        <w:rPr>
          <w:sz w:val="22"/>
          <w:szCs w:val="22"/>
        </w:rPr>
        <w:t>a peace officer – sub. (a)</w:t>
      </w:r>
    </w:p>
    <w:p w14:paraId="49D8E07A" w14:textId="77777777" w:rsidR="005766C0" w:rsidRPr="00E13216" w:rsidRDefault="005766C0" w:rsidP="00C727AB">
      <w:pPr>
        <w:pStyle w:val="NoSpacing"/>
        <w:numPr>
          <w:ilvl w:val="0"/>
          <w:numId w:val="2"/>
        </w:numPr>
        <w:jc w:val="both"/>
        <w:rPr>
          <w:sz w:val="22"/>
          <w:szCs w:val="22"/>
        </w:rPr>
      </w:pPr>
      <w:r w:rsidRPr="00E13216">
        <w:rPr>
          <w:sz w:val="22"/>
          <w:szCs w:val="22"/>
        </w:rPr>
        <w:t>a qualified out-of-state law enforcement officer – sub. (b)</w:t>
      </w:r>
    </w:p>
    <w:p w14:paraId="20289678" w14:textId="77777777" w:rsidR="005766C0" w:rsidRPr="00E13216" w:rsidRDefault="005766C0" w:rsidP="00C727AB">
      <w:pPr>
        <w:pStyle w:val="NoSpacing"/>
        <w:numPr>
          <w:ilvl w:val="0"/>
          <w:numId w:val="2"/>
        </w:numPr>
        <w:jc w:val="both"/>
        <w:rPr>
          <w:sz w:val="22"/>
          <w:szCs w:val="22"/>
        </w:rPr>
      </w:pPr>
      <w:r w:rsidRPr="00E13216">
        <w:rPr>
          <w:sz w:val="22"/>
          <w:szCs w:val="22"/>
        </w:rPr>
        <w:t>a former officer – sub. (c)</w:t>
      </w:r>
    </w:p>
    <w:p w14:paraId="50212D85" w14:textId="77777777" w:rsidR="005766C0" w:rsidRPr="00E13216" w:rsidRDefault="005766C0" w:rsidP="00C727AB">
      <w:pPr>
        <w:pStyle w:val="NoSpacing"/>
        <w:numPr>
          <w:ilvl w:val="0"/>
          <w:numId w:val="2"/>
        </w:numPr>
        <w:jc w:val="both"/>
        <w:rPr>
          <w:sz w:val="22"/>
          <w:szCs w:val="22"/>
        </w:rPr>
      </w:pPr>
      <w:r w:rsidRPr="00E13216">
        <w:rPr>
          <w:sz w:val="22"/>
          <w:szCs w:val="22"/>
        </w:rPr>
        <w:t>a licensee or out-of-state licensee – sub. (d)</w:t>
      </w:r>
    </w:p>
    <w:p w14:paraId="23DC1C70" w14:textId="77777777" w:rsidR="005766C0" w:rsidRPr="00E13216" w:rsidRDefault="005766C0" w:rsidP="00C727AB">
      <w:pPr>
        <w:pStyle w:val="NoSpacing"/>
        <w:numPr>
          <w:ilvl w:val="0"/>
          <w:numId w:val="2"/>
        </w:numPr>
        <w:jc w:val="both"/>
        <w:rPr>
          <w:sz w:val="22"/>
          <w:szCs w:val="22"/>
        </w:rPr>
      </w:pPr>
      <w:r w:rsidRPr="00E13216">
        <w:rPr>
          <w:sz w:val="22"/>
          <w:szCs w:val="22"/>
        </w:rPr>
        <w:t>an individual who carries in his or her own dwelling or place of business or on land that he or she owns, leases, or legally occupies – sub. (e).</w:t>
      </w:r>
    </w:p>
    <w:p w14:paraId="4E3BB55A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63A90E2B" w14:textId="77777777" w:rsidR="005766C0" w:rsidRDefault="005766C0" w:rsidP="00C727AB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See Wis JI</w:t>
      </w:r>
      <w:r w:rsidRPr="00E13216">
        <w:rPr>
          <w:sz w:val="22"/>
          <w:szCs w:val="22"/>
        </w:rPr>
        <w:noBreakHyphen/>
        <w:t>Criminal 1335B for a model to use where there is evidence that an exception may apply.</w:t>
      </w:r>
    </w:p>
    <w:p w14:paraId="6791649B" w14:textId="77777777" w:rsidR="00C727AB" w:rsidRPr="00E13216" w:rsidRDefault="00C727AB" w:rsidP="00C727AB">
      <w:pPr>
        <w:pStyle w:val="NoSpacing"/>
        <w:ind w:firstLine="450"/>
        <w:jc w:val="both"/>
        <w:rPr>
          <w:sz w:val="22"/>
          <w:szCs w:val="22"/>
        </w:rPr>
      </w:pPr>
    </w:p>
    <w:p w14:paraId="4FCD781B" w14:textId="77777777" w:rsidR="00C727AB" w:rsidRDefault="00C727AB" w:rsidP="00C727AB">
      <w:pPr>
        <w:pStyle w:val="NoSpacing"/>
        <w:tabs>
          <w:tab w:val="left" w:pos="900"/>
        </w:tabs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766C0" w:rsidRPr="00E13216">
        <w:rPr>
          <w:sz w:val="22"/>
          <w:szCs w:val="22"/>
        </w:rPr>
        <w:t>2011 Wisconsin Act 35 changed the d</w:t>
      </w:r>
      <w:r>
        <w:rPr>
          <w:sz w:val="22"/>
          <w:szCs w:val="22"/>
        </w:rPr>
        <w:t xml:space="preserve">efinition of this offense from “goes armed with” a dangerous weapon to “carries” a dangerous weapon. </w:t>
      </w:r>
      <w:r w:rsidR="005766C0" w:rsidRPr="00E13216">
        <w:rPr>
          <w:sz w:val="22"/>
          <w:szCs w:val="22"/>
        </w:rPr>
        <w:t>Section 941.23(</w:t>
      </w:r>
      <w:proofErr w:type="gramStart"/>
      <w:r w:rsidR="005766C0" w:rsidRPr="00E13216">
        <w:rPr>
          <w:sz w:val="22"/>
          <w:szCs w:val="22"/>
        </w:rPr>
        <w:t>1)(</w:t>
      </w:r>
      <w:proofErr w:type="gramEnd"/>
      <w:r w:rsidR="005766C0" w:rsidRPr="00E13216">
        <w:rPr>
          <w:sz w:val="22"/>
          <w:szCs w:val="22"/>
        </w:rPr>
        <w:t xml:space="preserve">ag) provides </w:t>
      </w:r>
      <w:r>
        <w:rPr>
          <w:sz w:val="22"/>
          <w:szCs w:val="22"/>
        </w:rPr>
        <w:t>that “‘</w:t>
      </w:r>
      <w:r w:rsidR="005766C0" w:rsidRPr="00E13216">
        <w:rPr>
          <w:sz w:val="22"/>
          <w:szCs w:val="22"/>
        </w:rPr>
        <w:t>car</w:t>
      </w:r>
      <w:r>
        <w:rPr>
          <w:sz w:val="22"/>
          <w:szCs w:val="22"/>
        </w:rPr>
        <w:t>ry’</w:t>
      </w:r>
      <w:r w:rsidR="005766C0" w:rsidRPr="00E13216">
        <w:rPr>
          <w:sz w:val="22"/>
          <w:szCs w:val="22"/>
        </w:rPr>
        <w:t xml:space="preserve"> has the mean</w:t>
      </w:r>
      <w:r>
        <w:rPr>
          <w:sz w:val="22"/>
          <w:szCs w:val="22"/>
        </w:rPr>
        <w:t>ing given in s. 175.60(1)(ag).” Section 175.60(</w:t>
      </w:r>
      <w:proofErr w:type="gramStart"/>
      <w:r>
        <w:rPr>
          <w:sz w:val="22"/>
          <w:szCs w:val="22"/>
        </w:rPr>
        <w:t>1)(</w:t>
      </w:r>
      <w:proofErr w:type="gramEnd"/>
      <w:r>
        <w:rPr>
          <w:sz w:val="22"/>
          <w:szCs w:val="22"/>
        </w:rPr>
        <w:t>ag) defines “carry” as “to go armed with.”</w:t>
      </w:r>
    </w:p>
    <w:p w14:paraId="18858FEF" w14:textId="77777777" w:rsidR="00C727AB" w:rsidRDefault="00C727AB" w:rsidP="00C727AB">
      <w:pPr>
        <w:pStyle w:val="NoSpacing"/>
        <w:tabs>
          <w:tab w:val="left" w:pos="900"/>
        </w:tabs>
        <w:ind w:firstLine="450"/>
        <w:jc w:val="both"/>
        <w:rPr>
          <w:sz w:val="22"/>
          <w:szCs w:val="22"/>
        </w:rPr>
      </w:pPr>
    </w:p>
    <w:p w14:paraId="56EF7B6C" w14:textId="77777777" w:rsidR="00001E4D" w:rsidRDefault="00C727AB" w:rsidP="00001E4D">
      <w:pPr>
        <w:pStyle w:val="NoSpacing"/>
        <w:tabs>
          <w:tab w:val="left" w:pos="900"/>
        </w:tabs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766C0" w:rsidRPr="00E13216">
        <w:rPr>
          <w:sz w:val="22"/>
          <w:szCs w:val="22"/>
        </w:rPr>
        <w:t>The original version of Wis JI</w:t>
      </w:r>
      <w:r w:rsidR="005766C0" w:rsidRPr="00E13216">
        <w:rPr>
          <w:sz w:val="22"/>
          <w:szCs w:val="22"/>
        </w:rPr>
        <w:noBreakHyphen/>
        <w:t>Criminal 1335, p</w:t>
      </w:r>
      <w:r w:rsidR="00001E4D">
        <w:rPr>
          <w:sz w:val="22"/>
          <w:szCs w:val="22"/>
        </w:rPr>
        <w:t>ublished in 1966, included the “aware of the presence” requirement.</w:t>
      </w:r>
      <w:r w:rsidR="005766C0" w:rsidRPr="00E13216">
        <w:rPr>
          <w:sz w:val="22"/>
          <w:szCs w:val="22"/>
        </w:rPr>
        <w:t xml:space="preserve"> An instruction including that statement was approved as a correct statement of the law in </w:t>
      </w:r>
      <w:r w:rsidR="005766C0" w:rsidRPr="00E13216">
        <w:rPr>
          <w:sz w:val="22"/>
          <w:szCs w:val="22"/>
          <w:u w:val="single"/>
        </w:rPr>
        <w:t xml:space="preserve">State v. </w:t>
      </w:r>
      <w:proofErr w:type="spellStart"/>
      <w:r w:rsidR="005766C0" w:rsidRPr="00E13216">
        <w:rPr>
          <w:sz w:val="22"/>
          <w:szCs w:val="22"/>
          <w:u w:val="single"/>
        </w:rPr>
        <w:t>Asfoor</w:t>
      </w:r>
      <w:proofErr w:type="spellEnd"/>
      <w:r w:rsidR="00001E4D">
        <w:rPr>
          <w:sz w:val="22"/>
          <w:szCs w:val="22"/>
        </w:rPr>
        <w:t>, where the court stated that “</w:t>
      </w:r>
      <w:r w:rsidR="005766C0" w:rsidRPr="00E13216">
        <w:rPr>
          <w:sz w:val="22"/>
          <w:szCs w:val="22"/>
        </w:rPr>
        <w:t>[c]</w:t>
      </w:r>
      <w:proofErr w:type="spellStart"/>
      <w:r w:rsidR="005766C0" w:rsidRPr="00E13216">
        <w:rPr>
          <w:sz w:val="22"/>
          <w:szCs w:val="22"/>
        </w:rPr>
        <w:t>oncealing</w:t>
      </w:r>
      <w:proofErr w:type="spellEnd"/>
      <w:r w:rsidR="005766C0" w:rsidRPr="00E13216">
        <w:rPr>
          <w:sz w:val="22"/>
          <w:szCs w:val="22"/>
        </w:rPr>
        <w:t xml:space="preserve"> or hiding a</w:t>
      </w:r>
      <w:r w:rsidR="00001E4D">
        <w:rPr>
          <w:sz w:val="22"/>
          <w:szCs w:val="22"/>
        </w:rPr>
        <w:t xml:space="preserve"> weapon precludes inadvertence.”</w:t>
      </w:r>
      <w:r w:rsidR="005766C0" w:rsidRPr="00E13216">
        <w:rPr>
          <w:sz w:val="22"/>
          <w:szCs w:val="22"/>
        </w:rPr>
        <w:t xml:space="preserve"> 75 Wis.2d 41</w:t>
      </w:r>
      <w:r w:rsidR="00001E4D">
        <w:rPr>
          <w:sz w:val="22"/>
          <w:szCs w:val="22"/>
        </w:rPr>
        <w:t xml:space="preserve">1, 415, 249 N.W.2d 529 (1976). </w:t>
      </w:r>
      <w:r w:rsidR="005766C0" w:rsidRPr="00E13216">
        <w:rPr>
          <w:sz w:val="22"/>
          <w:szCs w:val="22"/>
        </w:rPr>
        <w:t>The concept is similar to that involved for o</w:t>
      </w:r>
      <w:r w:rsidR="00001E4D">
        <w:rPr>
          <w:sz w:val="22"/>
          <w:szCs w:val="22"/>
        </w:rPr>
        <w:t>ffenses requiring “possession.” See Wis JI</w:t>
      </w:r>
      <w:r w:rsidR="00001E4D">
        <w:rPr>
          <w:sz w:val="22"/>
          <w:szCs w:val="22"/>
        </w:rPr>
        <w:noBreakHyphen/>
        <w:t>Criminal 920. For cases identifying “aware of the presence”</w:t>
      </w:r>
      <w:r w:rsidR="005766C0" w:rsidRPr="00E13216">
        <w:rPr>
          <w:sz w:val="22"/>
          <w:szCs w:val="22"/>
        </w:rPr>
        <w:t xml:space="preserve"> as an element of the crime, see </w:t>
      </w:r>
      <w:r w:rsidR="005766C0" w:rsidRPr="00E13216">
        <w:rPr>
          <w:sz w:val="22"/>
          <w:szCs w:val="22"/>
          <w:u w:val="single"/>
        </w:rPr>
        <w:t>State v. Fry</w:t>
      </w:r>
      <w:r w:rsidR="005766C0" w:rsidRPr="00E13216">
        <w:rPr>
          <w:sz w:val="22"/>
          <w:szCs w:val="22"/>
        </w:rPr>
        <w:t xml:space="preserve"> and </w:t>
      </w:r>
      <w:r w:rsidR="005766C0" w:rsidRPr="00E13216">
        <w:rPr>
          <w:sz w:val="22"/>
          <w:szCs w:val="22"/>
          <w:u w:val="single"/>
        </w:rPr>
        <w:t>State v. Keith</w:t>
      </w:r>
      <w:r w:rsidR="00001E4D">
        <w:rPr>
          <w:sz w:val="22"/>
          <w:szCs w:val="22"/>
        </w:rPr>
        <w:t xml:space="preserve">, note 3, below. </w:t>
      </w:r>
      <w:r w:rsidR="005766C0" w:rsidRPr="00E13216">
        <w:rPr>
          <w:sz w:val="22"/>
          <w:szCs w:val="22"/>
        </w:rPr>
        <w:t>The 1995 rev</w:t>
      </w:r>
      <w:r w:rsidR="00001E4D">
        <w:rPr>
          <w:sz w:val="22"/>
          <w:szCs w:val="22"/>
        </w:rPr>
        <w:t>ision of the instruction added “</w:t>
      </w:r>
      <w:r w:rsidR="005766C0" w:rsidRPr="00E13216">
        <w:rPr>
          <w:sz w:val="22"/>
          <w:szCs w:val="22"/>
        </w:rPr>
        <w:t>aware of the pre</w:t>
      </w:r>
      <w:r w:rsidR="00001E4D">
        <w:rPr>
          <w:sz w:val="22"/>
          <w:szCs w:val="22"/>
        </w:rPr>
        <w:t>sence”</w:t>
      </w:r>
      <w:r w:rsidR="005766C0" w:rsidRPr="00E13216">
        <w:rPr>
          <w:sz w:val="22"/>
          <w:szCs w:val="22"/>
        </w:rPr>
        <w:t xml:space="preserve"> as </w:t>
      </w:r>
      <w:r w:rsidR="00001E4D">
        <w:rPr>
          <w:sz w:val="22"/>
          <w:szCs w:val="22"/>
        </w:rPr>
        <w:t>a separate element.</w:t>
      </w:r>
    </w:p>
    <w:p w14:paraId="3C5EAF88" w14:textId="77777777" w:rsidR="00001E4D" w:rsidRDefault="00001E4D" w:rsidP="00001E4D">
      <w:pPr>
        <w:pStyle w:val="NoSpacing"/>
        <w:tabs>
          <w:tab w:val="left" w:pos="900"/>
        </w:tabs>
        <w:jc w:val="both"/>
        <w:rPr>
          <w:sz w:val="22"/>
          <w:szCs w:val="22"/>
        </w:rPr>
      </w:pPr>
    </w:p>
    <w:p w14:paraId="1780D152" w14:textId="77777777" w:rsidR="005766C0" w:rsidRPr="00E13216" w:rsidRDefault="00001E4D" w:rsidP="00001E4D">
      <w:pPr>
        <w:pStyle w:val="NoSpacing"/>
        <w:tabs>
          <w:tab w:val="left" w:pos="900"/>
        </w:tabs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766C0" w:rsidRPr="00E13216">
        <w:rPr>
          <w:sz w:val="22"/>
          <w:szCs w:val="22"/>
        </w:rPr>
        <w:t xml:space="preserve">In </w:t>
      </w:r>
      <w:r w:rsidR="005766C0" w:rsidRPr="00E13216">
        <w:rPr>
          <w:sz w:val="22"/>
          <w:szCs w:val="22"/>
          <w:u w:val="single"/>
        </w:rPr>
        <w:t>Mularkey v. State</w:t>
      </w:r>
      <w:r w:rsidR="005766C0" w:rsidRPr="00E13216">
        <w:rPr>
          <w:sz w:val="22"/>
          <w:szCs w:val="22"/>
        </w:rPr>
        <w:t>, 201 Wis. 429, 230 N.W. 76 (1930), the court affirmed the conviction of a driver who had a revolver within his reach on a shelf back of the seat of his automobile but did not have the weapon on his person.</w:t>
      </w:r>
    </w:p>
    <w:p w14:paraId="43EAF342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2782F4DC" w14:textId="77777777" w:rsidR="005766C0" w:rsidRPr="00E13216" w:rsidRDefault="005766C0" w:rsidP="00001E4D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 xml:space="preserve">The </w:t>
      </w:r>
      <w:r w:rsidRPr="00E13216">
        <w:rPr>
          <w:sz w:val="22"/>
          <w:szCs w:val="22"/>
          <w:u w:val="single"/>
        </w:rPr>
        <w:t>Mularkey</w:t>
      </w:r>
      <w:r w:rsidR="00001E4D">
        <w:rPr>
          <w:sz w:val="22"/>
          <w:szCs w:val="22"/>
        </w:rPr>
        <w:t xml:space="preserve"> “within his reach”</w:t>
      </w:r>
      <w:r w:rsidRPr="00E13216">
        <w:rPr>
          <w:sz w:val="22"/>
          <w:szCs w:val="22"/>
        </w:rPr>
        <w:t xml:space="preserve"> test was reaffirmed by the Wisconsin Supreme Court in </w:t>
      </w:r>
      <w:r w:rsidRPr="00E13216">
        <w:rPr>
          <w:sz w:val="22"/>
          <w:szCs w:val="22"/>
          <w:u w:val="single"/>
        </w:rPr>
        <w:t>State v. Fry</w:t>
      </w:r>
      <w:r w:rsidRPr="00E13216">
        <w:rPr>
          <w:sz w:val="22"/>
          <w:szCs w:val="22"/>
        </w:rPr>
        <w:t>, 131 Wis.</w:t>
      </w:r>
      <w:r w:rsidR="00001E4D">
        <w:rPr>
          <w:sz w:val="22"/>
          <w:szCs w:val="22"/>
        </w:rPr>
        <w:t xml:space="preserve">2d 153, 388 N.W.2d 565 (1986). </w:t>
      </w:r>
      <w:r w:rsidRPr="00E13216">
        <w:rPr>
          <w:sz w:val="22"/>
          <w:szCs w:val="22"/>
        </w:rPr>
        <w:t xml:space="preserve">In </w:t>
      </w:r>
      <w:r w:rsidRPr="00E13216">
        <w:rPr>
          <w:sz w:val="22"/>
          <w:szCs w:val="22"/>
          <w:u w:val="single"/>
        </w:rPr>
        <w:t>Fry</w:t>
      </w:r>
      <w:r w:rsidRPr="00E13216">
        <w:rPr>
          <w:sz w:val="22"/>
          <w:szCs w:val="22"/>
        </w:rPr>
        <w:t>, the court found sufficient evidence to support a conviction for carrying a concealed weapon where the gun was in the glove compartment of the vehicle the defendant was driving.</w:t>
      </w:r>
    </w:p>
    <w:p w14:paraId="65F85324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029A8744" w14:textId="77777777" w:rsidR="005766C0" w:rsidRPr="00E13216" w:rsidRDefault="005766C0" w:rsidP="00001E4D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 xml:space="preserve">In </w:t>
      </w:r>
      <w:r w:rsidRPr="00E13216">
        <w:rPr>
          <w:sz w:val="22"/>
          <w:szCs w:val="22"/>
          <w:u w:val="single"/>
        </w:rPr>
        <w:t>State v. Walls</w:t>
      </w:r>
      <w:r w:rsidRPr="00E13216">
        <w:rPr>
          <w:sz w:val="22"/>
          <w:szCs w:val="22"/>
        </w:rPr>
        <w:t>, 190 Wis.2d 65, 526 N.W.2d 765 (Ct. App. 1994), the court affirmed a conviction for carrying a concealed weapon where a handgun was lying on the front seat of an automobile.</w:t>
      </w:r>
      <w:r w:rsidR="00001E4D">
        <w:rPr>
          <w:sz w:val="22"/>
          <w:szCs w:val="22"/>
        </w:rPr>
        <w:t xml:space="preserve"> </w:t>
      </w:r>
      <w:r w:rsidRPr="00E13216">
        <w:rPr>
          <w:sz w:val="22"/>
          <w:szCs w:val="22"/>
        </w:rPr>
        <w:t>The court held that:</w:t>
      </w:r>
    </w:p>
    <w:p w14:paraId="7D43E07D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300822BC" w14:textId="5ABB4781" w:rsidR="005766C0" w:rsidRPr="00E13216" w:rsidRDefault="005766C0" w:rsidP="00001E4D">
      <w:pPr>
        <w:pStyle w:val="NoSpacing"/>
        <w:ind w:left="450" w:right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. . . the statute evinces a strong rationale to prevent the carrying of weapons in automobiles, as well as on a person</w:t>
      </w:r>
      <w:r w:rsidR="005C61FA" w:rsidRPr="00E13216">
        <w:rPr>
          <w:sz w:val="22"/>
          <w:szCs w:val="22"/>
        </w:rPr>
        <w:t>. . .</w:t>
      </w:r>
      <w:r w:rsidRPr="00E13216">
        <w:rPr>
          <w:sz w:val="22"/>
          <w:szCs w:val="22"/>
        </w:rPr>
        <w:t xml:space="preserve">  A person is guilty of carrying a concealed weapon in an automobile where</w:t>
      </w:r>
      <w:r w:rsidR="005C61FA" w:rsidRPr="00E13216">
        <w:rPr>
          <w:sz w:val="22"/>
          <w:szCs w:val="22"/>
        </w:rPr>
        <w:t>: (</w:t>
      </w:r>
      <w:r w:rsidRPr="00E13216">
        <w:rPr>
          <w:sz w:val="22"/>
          <w:szCs w:val="22"/>
        </w:rPr>
        <w:t>1) the weapon is located inside a vehicle and is within the defendant's reach; (2) the defendant is aware of the presence of the weapon; and (3) the weapon is concealed, or hidden from ordinary view – meaning it is indiscernible from ordinary observation of a person located outside and within the immediate vicinity of the vehicle.</w:t>
      </w:r>
    </w:p>
    <w:p w14:paraId="43295280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234EC7ED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190 Wis.2d 65, 71</w:t>
      </w:r>
      <w:r w:rsidRPr="00E13216">
        <w:rPr>
          <w:sz w:val="22"/>
          <w:szCs w:val="22"/>
        </w:rPr>
        <w:noBreakHyphen/>
        <w:t>72.</w:t>
      </w:r>
    </w:p>
    <w:p w14:paraId="20589742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01AF6F62" w14:textId="77777777" w:rsidR="005766C0" w:rsidRPr="00E13216" w:rsidRDefault="005766C0" w:rsidP="00001E4D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 xml:space="preserve">In </w:t>
      </w:r>
      <w:r w:rsidRPr="00E13216">
        <w:rPr>
          <w:sz w:val="22"/>
          <w:szCs w:val="22"/>
          <w:u w:val="single"/>
        </w:rPr>
        <w:t>State v. Keith</w:t>
      </w:r>
      <w:r w:rsidRPr="00E13216">
        <w:rPr>
          <w:sz w:val="22"/>
          <w:szCs w:val="22"/>
        </w:rPr>
        <w:t>, 175 Wis.2d 75, 498 N.W.2d 865 (Ct. App. 1993), the court affirmed a conviction where the defendant had a gun in her p</w:t>
      </w:r>
      <w:r w:rsidR="00001E4D">
        <w:rPr>
          <w:sz w:val="22"/>
          <w:szCs w:val="22"/>
        </w:rPr>
        <w:t xml:space="preserve">urse on the porch of her home. </w:t>
      </w:r>
      <w:r w:rsidRPr="00E13216">
        <w:rPr>
          <w:sz w:val="22"/>
          <w:szCs w:val="22"/>
        </w:rPr>
        <w:t>The court reject</w:t>
      </w:r>
      <w:r w:rsidR="00001E4D">
        <w:rPr>
          <w:sz w:val="22"/>
          <w:szCs w:val="22"/>
        </w:rPr>
        <w:t>ed Keith’s argument that to “</w:t>
      </w:r>
      <w:r w:rsidRPr="00E13216">
        <w:rPr>
          <w:sz w:val="22"/>
          <w:szCs w:val="22"/>
        </w:rPr>
        <w:t>go a</w:t>
      </w:r>
      <w:r w:rsidR="00001E4D">
        <w:rPr>
          <w:sz w:val="22"/>
          <w:szCs w:val="22"/>
        </w:rPr>
        <w:t>rmed, you have to go somewhere.” The court held that “</w:t>
      </w:r>
      <w:r w:rsidRPr="00E13216">
        <w:rPr>
          <w:sz w:val="22"/>
          <w:szCs w:val="22"/>
        </w:rPr>
        <w:t>there is no separate element requiring that a</w:t>
      </w:r>
      <w:r w:rsidR="00001E4D">
        <w:rPr>
          <w:sz w:val="22"/>
          <w:szCs w:val="22"/>
        </w:rPr>
        <w:t xml:space="preserve"> person actually go somewhere.”</w:t>
      </w:r>
      <w:r w:rsidRPr="00E13216">
        <w:rPr>
          <w:sz w:val="22"/>
          <w:szCs w:val="22"/>
        </w:rPr>
        <w:t xml:space="preserve"> 175 Wis.2d 75, 79.</w:t>
      </w:r>
    </w:p>
    <w:p w14:paraId="4250C31D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2F5A1870" w14:textId="77777777" w:rsidR="005766C0" w:rsidRPr="00E13216" w:rsidRDefault="005766C0" w:rsidP="00001E4D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 xml:space="preserve">In </w:t>
      </w:r>
      <w:r w:rsidRPr="00E13216">
        <w:rPr>
          <w:sz w:val="22"/>
          <w:szCs w:val="22"/>
          <w:u w:val="single"/>
        </w:rPr>
        <w:t>State v. Hamdan</w:t>
      </w:r>
      <w:r w:rsidRPr="00E13216">
        <w:rPr>
          <w:sz w:val="22"/>
          <w:szCs w:val="22"/>
        </w:rPr>
        <w:t xml:space="preserve">, the court rejected the argument that </w:t>
      </w:r>
      <w:r w:rsidRPr="00E13216">
        <w:rPr>
          <w:sz w:val="22"/>
          <w:szCs w:val="22"/>
          <w:u w:val="single"/>
        </w:rPr>
        <w:t>Keith</w:t>
      </w:r>
      <w:r w:rsidRPr="00E13216">
        <w:rPr>
          <w:sz w:val="22"/>
          <w:szCs w:val="22"/>
        </w:rPr>
        <w:t xml:space="preserve"> was wro</w:t>
      </w:r>
      <w:r w:rsidR="00001E4D">
        <w:rPr>
          <w:sz w:val="22"/>
          <w:szCs w:val="22"/>
        </w:rPr>
        <w:t>ngly decided, stating that “</w:t>
      </w:r>
      <w:r w:rsidRPr="00E13216">
        <w:rPr>
          <w:sz w:val="22"/>
          <w:szCs w:val="22"/>
        </w:rPr>
        <w:t>[we] continue to adhere t</w:t>
      </w:r>
      <w:r w:rsidR="00001E4D">
        <w:rPr>
          <w:sz w:val="22"/>
          <w:szCs w:val="22"/>
        </w:rPr>
        <w:t>o prior interpretations of the ‘goes armed’ language.”</w:t>
      </w:r>
      <w:r w:rsidRPr="00E13216">
        <w:rPr>
          <w:sz w:val="22"/>
          <w:szCs w:val="22"/>
        </w:rPr>
        <w:t xml:space="preserve"> 2003 WI 113, ¶24.</w:t>
      </w:r>
    </w:p>
    <w:p w14:paraId="2E68568F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73CD6591" w14:textId="77777777" w:rsidR="005766C0" w:rsidRDefault="00001E4D" w:rsidP="00001E4D">
      <w:pPr>
        <w:pStyle w:val="NoSpacing"/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The definition of “went armed”</w:t>
      </w:r>
      <w:r w:rsidR="005766C0" w:rsidRPr="00E13216">
        <w:rPr>
          <w:sz w:val="22"/>
          <w:szCs w:val="22"/>
        </w:rPr>
        <w:t xml:space="preserve"> was discussed in </w:t>
      </w:r>
      <w:r w:rsidR="005766C0" w:rsidRPr="00E13216">
        <w:rPr>
          <w:sz w:val="22"/>
          <w:szCs w:val="22"/>
          <w:u w:val="single"/>
        </w:rPr>
        <w:t xml:space="preserve">State v. </w:t>
      </w:r>
      <w:proofErr w:type="spellStart"/>
      <w:r w:rsidR="005766C0" w:rsidRPr="00E13216">
        <w:rPr>
          <w:sz w:val="22"/>
          <w:szCs w:val="22"/>
          <w:u w:val="single"/>
        </w:rPr>
        <w:t>Grandberry</w:t>
      </w:r>
      <w:proofErr w:type="spellEnd"/>
      <w:r w:rsidR="005766C0" w:rsidRPr="00E13216">
        <w:rPr>
          <w:sz w:val="22"/>
          <w:szCs w:val="22"/>
        </w:rPr>
        <w:t>, 2018 WI 29, 380 Wis.2d 541, 910 N.W.2d 214, but no change was adopted.</w:t>
      </w:r>
    </w:p>
    <w:p w14:paraId="29BE5FAB" w14:textId="77777777" w:rsidR="00001E4D" w:rsidRPr="00E13216" w:rsidRDefault="00001E4D" w:rsidP="00001E4D">
      <w:pPr>
        <w:pStyle w:val="NoSpacing"/>
        <w:ind w:firstLine="450"/>
        <w:jc w:val="both"/>
        <w:rPr>
          <w:sz w:val="22"/>
          <w:szCs w:val="22"/>
        </w:rPr>
      </w:pPr>
    </w:p>
    <w:p w14:paraId="0768DD7E" w14:textId="77777777" w:rsidR="005766C0" w:rsidRPr="00E13216" w:rsidRDefault="00001E4D" w:rsidP="00001E4D">
      <w:pPr>
        <w:pStyle w:val="NoSpacing"/>
        <w:tabs>
          <w:tab w:val="left" w:pos="900"/>
        </w:tabs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766C0" w:rsidRPr="00E13216">
        <w:rPr>
          <w:sz w:val="22"/>
          <w:szCs w:val="22"/>
        </w:rPr>
        <w:t>Choose the alternat</w:t>
      </w:r>
      <w:r>
        <w:rPr>
          <w:sz w:val="22"/>
          <w:szCs w:val="22"/>
        </w:rPr>
        <w:t xml:space="preserve">ive supported by the evidence. </w:t>
      </w:r>
      <w:r w:rsidR="005766C0" w:rsidRPr="00E13216">
        <w:rPr>
          <w:sz w:val="22"/>
          <w:szCs w:val="22"/>
        </w:rPr>
        <w:t xml:space="preserve">They </w:t>
      </w:r>
      <w:r>
        <w:rPr>
          <w:sz w:val="22"/>
          <w:szCs w:val="22"/>
        </w:rPr>
        <w:t>are based in the definition of “dangerous weapon”</w:t>
      </w:r>
      <w:r w:rsidR="005766C0" w:rsidRPr="00E13216">
        <w:rPr>
          <w:sz w:val="22"/>
          <w:szCs w:val="22"/>
        </w:rPr>
        <w:t xml:space="preserve"> provided in §</w:t>
      </w:r>
      <w:r>
        <w:rPr>
          <w:sz w:val="22"/>
          <w:szCs w:val="22"/>
        </w:rPr>
        <w:t xml:space="preserve"> 939.22(10). </w:t>
      </w:r>
      <w:r w:rsidR="005766C0" w:rsidRPr="00E13216">
        <w:rPr>
          <w:sz w:val="22"/>
          <w:szCs w:val="22"/>
        </w:rPr>
        <w:t>See Wis JI</w:t>
      </w:r>
      <w:r w:rsidR="005766C0" w:rsidRPr="00E13216">
        <w:rPr>
          <w:sz w:val="22"/>
          <w:szCs w:val="22"/>
        </w:rPr>
        <w:noBreakHyphen/>
        <w:t>Criminal 910 for footnotes discussing each alternative.</w:t>
      </w:r>
    </w:p>
    <w:p w14:paraId="5D05F15B" w14:textId="77777777" w:rsidR="005766C0" w:rsidRPr="00E13216" w:rsidRDefault="005766C0" w:rsidP="005766C0">
      <w:pPr>
        <w:pStyle w:val="NoSpacing"/>
        <w:jc w:val="both"/>
        <w:rPr>
          <w:sz w:val="22"/>
          <w:szCs w:val="22"/>
        </w:rPr>
      </w:pPr>
    </w:p>
    <w:p w14:paraId="48090DF2" w14:textId="77777777" w:rsidR="005766C0" w:rsidRDefault="005766C0" w:rsidP="00001E4D">
      <w:pPr>
        <w:pStyle w:val="NoSpacing"/>
        <w:ind w:firstLine="450"/>
        <w:jc w:val="both"/>
        <w:rPr>
          <w:sz w:val="22"/>
          <w:szCs w:val="22"/>
        </w:rPr>
      </w:pPr>
      <w:r w:rsidRPr="00E13216">
        <w:rPr>
          <w:sz w:val="22"/>
          <w:szCs w:val="22"/>
        </w:rPr>
        <w:t>2015 Wisconsin Act 109 [effective date:  February 8, 2016] created §</w:t>
      </w:r>
      <w:r w:rsidR="00001E4D">
        <w:rPr>
          <w:sz w:val="22"/>
          <w:szCs w:val="22"/>
        </w:rPr>
        <w:t> 941.23(</w:t>
      </w:r>
      <w:proofErr w:type="gramStart"/>
      <w:r w:rsidR="00001E4D">
        <w:rPr>
          <w:sz w:val="22"/>
          <w:szCs w:val="22"/>
        </w:rPr>
        <w:t>1)(</w:t>
      </w:r>
      <w:proofErr w:type="gramEnd"/>
      <w:r w:rsidR="00001E4D">
        <w:rPr>
          <w:sz w:val="22"/>
          <w:szCs w:val="22"/>
        </w:rPr>
        <w:t>ap):  “Notwithstanding s. 939.22(10), ‘dangerous weapon’ does not include a knife.”</w:t>
      </w:r>
    </w:p>
    <w:p w14:paraId="1E68C73F" w14:textId="77777777" w:rsidR="00001E4D" w:rsidRPr="00E13216" w:rsidRDefault="00001E4D" w:rsidP="00001E4D">
      <w:pPr>
        <w:pStyle w:val="NoSpacing"/>
        <w:ind w:firstLine="450"/>
        <w:jc w:val="both"/>
        <w:rPr>
          <w:sz w:val="22"/>
          <w:szCs w:val="22"/>
        </w:rPr>
      </w:pPr>
    </w:p>
    <w:p w14:paraId="34B0768E" w14:textId="283C13B7" w:rsidR="005766C0" w:rsidRPr="00E13216" w:rsidRDefault="00001E4D" w:rsidP="00001E4D">
      <w:pPr>
        <w:pStyle w:val="NoSpacing"/>
        <w:tabs>
          <w:tab w:val="left" w:pos="900"/>
        </w:tabs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The “</w:t>
      </w:r>
      <w:r w:rsidR="005766C0" w:rsidRPr="00E13216">
        <w:rPr>
          <w:sz w:val="22"/>
          <w:szCs w:val="22"/>
        </w:rPr>
        <w:t>h</w:t>
      </w:r>
      <w:r>
        <w:rPr>
          <w:sz w:val="22"/>
          <w:szCs w:val="22"/>
        </w:rPr>
        <w:t>idden from ordinary observation”</w:t>
      </w:r>
      <w:r w:rsidR="005766C0" w:rsidRPr="00E13216">
        <w:rPr>
          <w:sz w:val="22"/>
          <w:szCs w:val="22"/>
        </w:rPr>
        <w:t xml:space="preserve"> requirement is adapted from </w:t>
      </w:r>
      <w:r w:rsidR="005766C0" w:rsidRPr="00E13216">
        <w:rPr>
          <w:sz w:val="22"/>
          <w:szCs w:val="22"/>
          <w:u w:val="single"/>
        </w:rPr>
        <w:t>State v. Mularkey</w:t>
      </w:r>
      <w:r w:rsidR="005766C0" w:rsidRPr="00E13216">
        <w:rPr>
          <w:sz w:val="22"/>
          <w:szCs w:val="22"/>
        </w:rPr>
        <w:t>, 201 Wis. 429, 230 N.W.2d 76 (1930)</w:t>
      </w:r>
      <w:r>
        <w:rPr>
          <w:sz w:val="22"/>
          <w:szCs w:val="22"/>
        </w:rPr>
        <w:t xml:space="preserve">. </w:t>
      </w:r>
      <w:r w:rsidR="005766C0" w:rsidRPr="00E13216">
        <w:rPr>
          <w:sz w:val="22"/>
          <w:szCs w:val="22"/>
        </w:rPr>
        <w:t>Also see</w:t>
      </w:r>
      <w:r w:rsidR="002A34E2">
        <w:rPr>
          <w:sz w:val="22"/>
          <w:szCs w:val="22"/>
        </w:rPr>
        <w:t xml:space="preserve"> </w:t>
      </w:r>
      <w:r w:rsidR="005766C0" w:rsidRPr="00E13216">
        <w:rPr>
          <w:sz w:val="22"/>
          <w:szCs w:val="22"/>
          <w:u w:val="single"/>
        </w:rPr>
        <w:t xml:space="preserve">State v. </w:t>
      </w:r>
      <w:proofErr w:type="spellStart"/>
      <w:r w:rsidR="005766C0" w:rsidRPr="00E13216">
        <w:rPr>
          <w:sz w:val="22"/>
          <w:szCs w:val="22"/>
          <w:u w:val="single"/>
        </w:rPr>
        <w:t>Asfoor</w:t>
      </w:r>
      <w:proofErr w:type="spellEnd"/>
      <w:r w:rsidR="005766C0" w:rsidRPr="00E13216">
        <w:rPr>
          <w:sz w:val="22"/>
          <w:szCs w:val="22"/>
        </w:rPr>
        <w:t>, 75 Wis.2d 411, 433, 249 N.W.2d 529 (1976), which approved an instruction that included this requirement.</w:t>
      </w:r>
    </w:p>
    <w:sectPr w:rsidR="005766C0" w:rsidRPr="00E13216" w:rsidSect="00967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DB04" w14:textId="77777777" w:rsidR="005766C0" w:rsidRDefault="005766C0" w:rsidP="005766C0">
      <w:r>
        <w:separator/>
      </w:r>
    </w:p>
  </w:endnote>
  <w:endnote w:type="continuationSeparator" w:id="0">
    <w:p w14:paraId="5ECB92E4" w14:textId="77777777" w:rsidR="005766C0" w:rsidRDefault="005766C0" w:rsidP="0057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1BE3" w14:textId="77777777" w:rsidR="00977611" w:rsidRDefault="00977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093D" w14:textId="77777777" w:rsidR="00E13216" w:rsidRDefault="00E13216" w:rsidP="00E13216">
    <w:pPr>
      <w:pStyle w:val="Footer"/>
      <w:jc w:val="both"/>
      <w:rPr>
        <w:rFonts w:ascii="Arial" w:hAnsi="Arial" w:cs="Arial"/>
        <w:sz w:val="20"/>
        <w:szCs w:val="20"/>
      </w:rPr>
    </w:pPr>
  </w:p>
  <w:p w14:paraId="0A8B1B71" w14:textId="35885DF4" w:rsidR="00E13216" w:rsidRPr="00E13216" w:rsidRDefault="00E13216" w:rsidP="00E13216">
    <w:pPr>
      <w:pStyle w:val="Footer"/>
      <w:jc w:val="both"/>
      <w:rPr>
        <w:rFonts w:ascii="Arial" w:hAnsi="Arial" w:cs="Arial"/>
        <w:sz w:val="20"/>
        <w:szCs w:val="20"/>
      </w:rPr>
    </w:pPr>
    <w:r w:rsidRPr="00E13216">
      <w:rPr>
        <w:rFonts w:ascii="Arial" w:hAnsi="Arial" w:cs="Arial"/>
        <w:sz w:val="20"/>
        <w:szCs w:val="20"/>
      </w:rPr>
      <w:t xml:space="preserve">Wisconsin Court System, </w:t>
    </w:r>
    <w:r w:rsidR="00977611">
      <w:rPr>
        <w:rFonts w:ascii="Arial" w:hAnsi="Arial" w:cs="Arial"/>
        <w:sz w:val="20"/>
        <w:szCs w:val="20"/>
      </w:rPr>
      <w:t>11</w:t>
    </w:r>
    <w:r w:rsidRPr="00E13216">
      <w:rPr>
        <w:rFonts w:ascii="Arial" w:hAnsi="Arial" w:cs="Arial"/>
        <w:sz w:val="20"/>
        <w:szCs w:val="20"/>
      </w:rPr>
      <w:t>/2025</w:t>
    </w:r>
    <w:r w:rsidRPr="00E13216">
      <w:rPr>
        <w:rFonts w:ascii="Arial" w:hAnsi="Arial" w:cs="Arial"/>
        <w:sz w:val="20"/>
        <w:szCs w:val="20"/>
      </w:rPr>
      <w:tab/>
    </w:r>
    <w:r w:rsidRPr="00E13216">
      <w:rPr>
        <w:rFonts w:ascii="Arial" w:hAnsi="Arial" w:cs="Arial"/>
        <w:sz w:val="20"/>
        <w:szCs w:val="20"/>
      </w:rPr>
      <w:tab/>
      <w:t>(</w:t>
    </w:r>
    <w:r w:rsidR="009674AB">
      <w:rPr>
        <w:rFonts w:ascii="Arial" w:hAnsi="Arial" w:cs="Arial"/>
        <w:sz w:val="20"/>
        <w:szCs w:val="20"/>
      </w:rPr>
      <w:t>Release No. 69</w:t>
    </w:r>
    <w:r w:rsidRPr="00E13216">
      <w:rPr>
        <w:rFonts w:ascii="Arial" w:hAnsi="Arial" w:cs="Arial"/>
        <w:sz w:val="20"/>
        <w:szCs w:val="20"/>
      </w:rPr>
      <w:t>)</w:t>
    </w:r>
  </w:p>
  <w:p w14:paraId="15A86CF5" w14:textId="77777777" w:rsidR="00E13216" w:rsidRPr="00E13216" w:rsidRDefault="005C75AC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751086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3216" w:rsidRPr="00E13216">
          <w:rPr>
            <w:rFonts w:ascii="Arial" w:hAnsi="Arial" w:cs="Arial"/>
            <w:sz w:val="20"/>
            <w:szCs w:val="20"/>
          </w:rPr>
          <w:fldChar w:fldCharType="begin"/>
        </w:r>
        <w:r w:rsidR="00E13216" w:rsidRPr="00E1321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13216" w:rsidRPr="00E13216">
          <w:rPr>
            <w:rFonts w:ascii="Arial" w:hAnsi="Arial" w:cs="Arial"/>
            <w:sz w:val="20"/>
            <w:szCs w:val="20"/>
          </w:rPr>
          <w:fldChar w:fldCharType="separate"/>
        </w:r>
        <w:r w:rsidR="00D56D2C">
          <w:rPr>
            <w:rFonts w:ascii="Arial" w:hAnsi="Arial" w:cs="Arial"/>
            <w:noProof/>
            <w:sz w:val="20"/>
            <w:szCs w:val="20"/>
          </w:rPr>
          <w:t>1</w:t>
        </w:r>
        <w:r w:rsidR="00E13216" w:rsidRPr="00E13216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7968C19A" w14:textId="77777777" w:rsidR="00E13216" w:rsidRDefault="00E13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F760" w14:textId="77777777" w:rsidR="00977611" w:rsidRDefault="0097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080A" w14:textId="77777777" w:rsidR="005766C0" w:rsidRDefault="005766C0" w:rsidP="005766C0">
      <w:r>
        <w:separator/>
      </w:r>
    </w:p>
  </w:footnote>
  <w:footnote w:type="continuationSeparator" w:id="0">
    <w:p w14:paraId="16E523F6" w14:textId="77777777" w:rsidR="005766C0" w:rsidRDefault="005766C0" w:rsidP="0057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D04E" w14:textId="77777777" w:rsidR="00977611" w:rsidRDefault="00977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AB16" w14:textId="77777777" w:rsidR="005766C0" w:rsidRDefault="005766C0" w:rsidP="005766C0">
    <w:pPr>
      <w:tabs>
        <w:tab w:val="center" w:pos="4680"/>
        <w:tab w:val="right" w:pos="9360"/>
      </w:tabs>
      <w:jc w:val="both"/>
      <w:rPr>
        <w:rFonts w:ascii="Arial" w:hAnsi="Arial" w:cs="Arial"/>
        <w:b/>
        <w:bCs/>
        <w:sz w:val="28"/>
        <w:szCs w:val="28"/>
      </w:rPr>
    </w:pPr>
  </w:p>
  <w:p w14:paraId="11E023DE" w14:textId="77777777" w:rsidR="005766C0" w:rsidRDefault="005766C0" w:rsidP="005766C0">
    <w:pPr>
      <w:tabs>
        <w:tab w:val="center" w:pos="4680"/>
        <w:tab w:val="right" w:pos="9360"/>
      </w:tabs>
      <w:jc w:val="both"/>
      <w:rPr>
        <w:rFonts w:ascii="Arial" w:hAnsi="Arial" w:cs="Arial"/>
        <w:b/>
        <w:bCs/>
        <w:sz w:val="28"/>
        <w:szCs w:val="28"/>
      </w:rPr>
    </w:pPr>
    <w:r w:rsidRPr="005766C0">
      <w:rPr>
        <w:rFonts w:ascii="Arial" w:hAnsi="Arial" w:cs="Arial"/>
        <w:b/>
        <w:bCs/>
        <w:sz w:val="28"/>
        <w:szCs w:val="28"/>
      </w:rPr>
      <w:t>1335</w:t>
    </w:r>
    <w:r w:rsidRPr="005766C0">
      <w:rPr>
        <w:rFonts w:ascii="Arial" w:hAnsi="Arial" w:cs="Arial"/>
        <w:b/>
        <w:bCs/>
        <w:sz w:val="28"/>
        <w:szCs w:val="28"/>
      </w:rPr>
      <w:tab/>
      <w:t>WIS JI</w:t>
    </w:r>
    <w:r w:rsidRPr="005766C0">
      <w:rPr>
        <w:rFonts w:ascii="Arial" w:hAnsi="Arial" w:cs="Arial"/>
        <w:b/>
        <w:bCs/>
        <w:sz w:val="28"/>
        <w:szCs w:val="28"/>
      </w:rPr>
      <w:noBreakHyphen/>
      <w:t>CRIMINAL</w:t>
    </w:r>
    <w:r w:rsidRPr="005766C0">
      <w:rPr>
        <w:rFonts w:ascii="Arial" w:hAnsi="Arial" w:cs="Arial"/>
        <w:b/>
        <w:bCs/>
        <w:sz w:val="28"/>
        <w:szCs w:val="28"/>
      </w:rPr>
      <w:tab/>
      <w:t>1335</w:t>
    </w:r>
  </w:p>
  <w:p w14:paraId="5ECCA9F4" w14:textId="77777777" w:rsidR="005766C0" w:rsidRDefault="005766C0" w:rsidP="005766C0">
    <w:pPr>
      <w:tabs>
        <w:tab w:val="center" w:pos="4680"/>
        <w:tab w:val="right" w:pos="9360"/>
      </w:tabs>
      <w:jc w:val="both"/>
      <w:rPr>
        <w:rFonts w:ascii="Arial" w:hAnsi="Arial" w:cs="Arial"/>
        <w:b/>
        <w:bCs/>
        <w:sz w:val="28"/>
        <w:szCs w:val="28"/>
      </w:rPr>
    </w:pPr>
  </w:p>
  <w:p w14:paraId="6CA0D938" w14:textId="77777777" w:rsidR="005766C0" w:rsidRPr="005766C0" w:rsidRDefault="005766C0" w:rsidP="005766C0">
    <w:pPr>
      <w:tabs>
        <w:tab w:val="center" w:pos="4680"/>
        <w:tab w:val="right" w:pos="9360"/>
      </w:tabs>
      <w:jc w:val="both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3DED" w14:textId="77777777" w:rsidR="00977611" w:rsidRDefault="00977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027"/>
    <w:multiLevelType w:val="hybridMultilevel"/>
    <w:tmpl w:val="F8DE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2A1B"/>
    <w:multiLevelType w:val="hybridMultilevel"/>
    <w:tmpl w:val="319EF0D6"/>
    <w:lvl w:ilvl="0" w:tplc="4CF4890E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C0"/>
    <w:rsid w:val="00001E4D"/>
    <w:rsid w:val="002A34E2"/>
    <w:rsid w:val="00345E73"/>
    <w:rsid w:val="005766C0"/>
    <w:rsid w:val="005C61FA"/>
    <w:rsid w:val="007D1377"/>
    <w:rsid w:val="008B0B54"/>
    <w:rsid w:val="008C213F"/>
    <w:rsid w:val="008D4320"/>
    <w:rsid w:val="008E5E16"/>
    <w:rsid w:val="009674AB"/>
    <w:rsid w:val="00977611"/>
    <w:rsid w:val="00A70DCB"/>
    <w:rsid w:val="00B95056"/>
    <w:rsid w:val="00C727AB"/>
    <w:rsid w:val="00D56D2C"/>
    <w:rsid w:val="00E1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41D7"/>
  <w15:chartTrackingRefBased/>
  <w15:docId w15:val="{0D768348-67C2-4B07-9A40-66E5B559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6C0"/>
  </w:style>
  <w:style w:type="paragraph" w:styleId="Footer">
    <w:name w:val="footer"/>
    <w:basedOn w:val="Normal"/>
    <w:link w:val="FooterChar"/>
    <w:uiPriority w:val="99"/>
    <w:unhideWhenUsed/>
    <w:rsid w:val="0057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6C0"/>
  </w:style>
  <w:style w:type="paragraph" w:styleId="NoSpacing">
    <w:name w:val="No Spacing"/>
    <w:uiPriority w:val="1"/>
    <w:qFormat/>
    <w:rsid w:val="00576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66C0"/>
  </w:style>
  <w:style w:type="character" w:styleId="FootnoteReference">
    <w:name w:val="footnote reference"/>
    <w:uiPriority w:val="99"/>
    <w:rsid w:val="0057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Pierson</dc:creator>
  <cp:keywords/>
  <dc:description/>
  <cp:lastModifiedBy>Bryce Pierson</cp:lastModifiedBy>
  <cp:revision>2</cp:revision>
  <dcterms:created xsi:type="dcterms:W3CDTF">2025-11-13T16:57:00Z</dcterms:created>
  <dcterms:modified xsi:type="dcterms:W3CDTF">2025-11-13T16:57:00Z</dcterms:modified>
</cp:coreProperties>
</file>