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390C" w14:textId="5099E65F" w:rsidR="003B31DB" w:rsidRPr="003B31DB" w:rsidRDefault="003B31DB" w:rsidP="003B31DB">
      <w:pPr>
        <w:pStyle w:val="NoSpacing"/>
        <w:ind w:left="900" w:hanging="900"/>
        <w:jc w:val="both"/>
        <w:rPr>
          <w:rFonts w:ascii="Times New Roman" w:hAnsi="Times New Roman" w:cs="Times New Roman"/>
          <w:b/>
          <w:bCs/>
          <w:sz w:val="26"/>
          <w:szCs w:val="26"/>
        </w:rPr>
      </w:pPr>
      <w:r w:rsidRPr="003B31DB">
        <w:rPr>
          <w:rFonts w:ascii="Times New Roman" w:hAnsi="Times New Roman" w:cs="Times New Roman"/>
          <w:b/>
          <w:bCs/>
          <w:sz w:val="26"/>
          <w:szCs w:val="26"/>
        </w:rPr>
        <w:t>1351A</w:t>
      </w:r>
      <w:r w:rsidRPr="003B31DB">
        <w:rPr>
          <w:rFonts w:ascii="Times New Roman" w:hAnsi="Times New Roman" w:cs="Times New Roman"/>
          <w:b/>
          <w:bCs/>
          <w:sz w:val="26"/>
          <w:szCs w:val="26"/>
        </w:rPr>
        <w:tab/>
        <w:t>POSSESSION OF AN IMPROVISED EXPLOSIVE DEVICE — § 941.31(2)</w:t>
      </w:r>
      <w:r w:rsidR="009E3BFE">
        <w:rPr>
          <w:rFonts w:ascii="Times New Roman" w:hAnsi="Times New Roman" w:cs="Times New Roman"/>
          <w:b/>
          <w:bCs/>
          <w:sz w:val="26"/>
          <w:szCs w:val="26"/>
        </w:rPr>
        <w:t>(b)</w:t>
      </w:r>
    </w:p>
    <w:p w14:paraId="5F6336DB" w14:textId="5BF6E87F" w:rsidR="003B31DB" w:rsidRDefault="003B31DB" w:rsidP="003B31DB">
      <w:pPr>
        <w:pStyle w:val="NoSpacing"/>
        <w:jc w:val="both"/>
        <w:rPr>
          <w:rFonts w:ascii="Times New Roman" w:hAnsi="Times New Roman" w:cs="Times New Roman"/>
          <w:sz w:val="26"/>
          <w:szCs w:val="26"/>
        </w:rPr>
      </w:pPr>
    </w:p>
    <w:p w14:paraId="2A422BA0" w14:textId="77777777" w:rsidR="003B31DB" w:rsidRPr="003B31DB" w:rsidRDefault="003B31DB" w:rsidP="003B31DB">
      <w:pPr>
        <w:pStyle w:val="NoSpacing"/>
        <w:jc w:val="both"/>
        <w:rPr>
          <w:rFonts w:ascii="Times New Roman" w:hAnsi="Times New Roman" w:cs="Times New Roman"/>
          <w:sz w:val="26"/>
          <w:szCs w:val="26"/>
        </w:rPr>
      </w:pPr>
    </w:p>
    <w:p w14:paraId="7C3C63EB" w14:textId="4552BCB4" w:rsidR="003B31DB" w:rsidRPr="00DE236E" w:rsidRDefault="003B31DB" w:rsidP="003B31DB">
      <w:pPr>
        <w:pStyle w:val="NoSpacing"/>
        <w:spacing w:line="480" w:lineRule="auto"/>
        <w:jc w:val="center"/>
        <w:rPr>
          <w:rFonts w:ascii="Times New Roman" w:hAnsi="Times New Roman" w:cs="Times New Roman"/>
          <w:b/>
          <w:bCs/>
          <w:sz w:val="26"/>
          <w:szCs w:val="26"/>
        </w:rPr>
      </w:pPr>
      <w:r w:rsidRPr="00DE236E">
        <w:rPr>
          <w:rFonts w:ascii="Times New Roman" w:hAnsi="Times New Roman" w:cs="Times New Roman"/>
          <w:b/>
          <w:bCs/>
          <w:sz w:val="26"/>
          <w:szCs w:val="26"/>
        </w:rPr>
        <w:t>Statutory Definition of the Crime</w:t>
      </w:r>
    </w:p>
    <w:p w14:paraId="33D231F2" w14:textId="1860A8E8" w:rsidR="003B31DB" w:rsidRPr="00DE236E" w:rsidRDefault="003B31DB" w:rsidP="003B31DB">
      <w:pPr>
        <w:pStyle w:val="NoSpacing"/>
        <w:spacing w:line="480" w:lineRule="auto"/>
        <w:ind w:firstLine="450"/>
        <w:jc w:val="both"/>
        <w:rPr>
          <w:rFonts w:ascii="Times New Roman" w:hAnsi="Times New Roman" w:cs="Times New Roman"/>
          <w:sz w:val="26"/>
          <w:szCs w:val="26"/>
        </w:rPr>
      </w:pPr>
      <w:r w:rsidRPr="00DE236E">
        <w:rPr>
          <w:rFonts w:ascii="Times New Roman" w:hAnsi="Times New Roman" w:cs="Times New Roman"/>
          <w:sz w:val="26"/>
          <w:szCs w:val="26"/>
        </w:rPr>
        <w:t>Possession of an improvised explosive device, as defined in § 941.31(2)</w:t>
      </w:r>
      <w:r w:rsidR="009E3BFE">
        <w:rPr>
          <w:rFonts w:ascii="Times New Roman" w:hAnsi="Times New Roman" w:cs="Times New Roman"/>
          <w:sz w:val="26"/>
          <w:szCs w:val="26"/>
        </w:rPr>
        <w:t>(b)</w:t>
      </w:r>
      <w:r w:rsidRPr="00DE236E">
        <w:rPr>
          <w:rFonts w:ascii="Times New Roman" w:hAnsi="Times New Roman" w:cs="Times New Roman"/>
          <w:sz w:val="26"/>
          <w:szCs w:val="26"/>
        </w:rPr>
        <w:t xml:space="preserve"> of the Criminal Code of Wisconsin, is committed by one who possesses</w:t>
      </w:r>
      <w:r w:rsidRPr="00DE236E">
        <w:rPr>
          <w:rStyle w:val="EndnoteReference"/>
          <w:rFonts w:ascii="Times New Roman" w:hAnsi="Times New Roman" w:cs="Times New Roman"/>
          <w:sz w:val="26"/>
          <w:szCs w:val="26"/>
        </w:rPr>
        <w:endnoteReference w:id="1"/>
      </w:r>
      <w:r w:rsidRPr="00DE236E">
        <w:rPr>
          <w:rFonts w:ascii="Times New Roman" w:hAnsi="Times New Roman" w:cs="Times New Roman"/>
          <w:sz w:val="26"/>
          <w:szCs w:val="26"/>
        </w:rPr>
        <w:t xml:space="preserve"> any improvised explosive device.</w:t>
      </w:r>
    </w:p>
    <w:p w14:paraId="21D2E942" w14:textId="76D30DF9" w:rsidR="003B31DB" w:rsidRPr="00DE236E" w:rsidRDefault="003B31DB" w:rsidP="003B31DB">
      <w:pPr>
        <w:pStyle w:val="NoSpacing"/>
        <w:spacing w:line="480" w:lineRule="auto"/>
        <w:jc w:val="center"/>
        <w:rPr>
          <w:rFonts w:ascii="Times New Roman" w:hAnsi="Times New Roman" w:cs="Times New Roman"/>
          <w:b/>
          <w:bCs/>
          <w:sz w:val="26"/>
          <w:szCs w:val="26"/>
        </w:rPr>
      </w:pPr>
      <w:r w:rsidRPr="00DE236E">
        <w:rPr>
          <w:rFonts w:ascii="Times New Roman" w:hAnsi="Times New Roman" w:cs="Times New Roman"/>
          <w:b/>
          <w:bCs/>
          <w:sz w:val="26"/>
          <w:szCs w:val="26"/>
        </w:rPr>
        <w:t>State’s Burden of Proof</w:t>
      </w:r>
    </w:p>
    <w:p w14:paraId="334B425F" w14:textId="77777777" w:rsidR="003B31DB" w:rsidRPr="00DE236E" w:rsidRDefault="003B31DB" w:rsidP="003B31DB">
      <w:pPr>
        <w:pStyle w:val="NoSpacing"/>
        <w:spacing w:line="480" w:lineRule="auto"/>
        <w:ind w:firstLine="450"/>
        <w:jc w:val="both"/>
        <w:rPr>
          <w:rFonts w:ascii="Times New Roman" w:hAnsi="Times New Roman" w:cs="Times New Roman"/>
          <w:sz w:val="26"/>
          <w:szCs w:val="26"/>
        </w:rPr>
      </w:pPr>
      <w:r w:rsidRPr="00DE236E">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693E1598" w14:textId="1B2B8468" w:rsidR="003B31DB" w:rsidRPr="00DE236E" w:rsidRDefault="003B31DB" w:rsidP="003B31DB">
      <w:pPr>
        <w:pStyle w:val="NoSpacing"/>
        <w:spacing w:line="480" w:lineRule="auto"/>
        <w:jc w:val="center"/>
        <w:rPr>
          <w:rFonts w:ascii="Times New Roman" w:hAnsi="Times New Roman" w:cs="Times New Roman"/>
          <w:b/>
          <w:bCs/>
          <w:sz w:val="26"/>
          <w:szCs w:val="26"/>
        </w:rPr>
      </w:pPr>
      <w:r w:rsidRPr="00DE236E">
        <w:rPr>
          <w:rFonts w:ascii="Times New Roman" w:hAnsi="Times New Roman" w:cs="Times New Roman"/>
          <w:b/>
          <w:bCs/>
          <w:sz w:val="26"/>
          <w:szCs w:val="26"/>
        </w:rPr>
        <w:t>Elements of the Crime That the State Must Prove</w:t>
      </w:r>
    </w:p>
    <w:p w14:paraId="0DCF5551" w14:textId="77777777" w:rsidR="003B31DB" w:rsidRPr="00DE236E" w:rsidRDefault="003B31DB" w:rsidP="003B31DB">
      <w:pPr>
        <w:pStyle w:val="NoSpacing"/>
        <w:spacing w:line="480" w:lineRule="auto"/>
        <w:ind w:left="900" w:hanging="450"/>
        <w:jc w:val="both"/>
        <w:rPr>
          <w:rFonts w:ascii="Times New Roman" w:hAnsi="Times New Roman" w:cs="Times New Roman"/>
          <w:sz w:val="26"/>
          <w:szCs w:val="26"/>
        </w:rPr>
      </w:pPr>
      <w:r w:rsidRPr="00DE236E">
        <w:rPr>
          <w:rFonts w:ascii="Times New Roman" w:hAnsi="Times New Roman" w:cs="Times New Roman"/>
          <w:sz w:val="26"/>
          <w:szCs w:val="26"/>
        </w:rPr>
        <w:t>1.</w:t>
      </w:r>
      <w:r w:rsidRPr="00DE236E">
        <w:rPr>
          <w:rFonts w:ascii="Times New Roman" w:hAnsi="Times New Roman" w:cs="Times New Roman"/>
          <w:sz w:val="26"/>
          <w:szCs w:val="26"/>
        </w:rPr>
        <w:tab/>
        <w:t>The defendant possessed a device.</w:t>
      </w:r>
    </w:p>
    <w:p w14:paraId="6608C9E2" w14:textId="2F94BD2C" w:rsidR="003B31DB" w:rsidRPr="00DE236E" w:rsidRDefault="003B31DB" w:rsidP="003B31DB">
      <w:pPr>
        <w:pStyle w:val="NoSpacing"/>
        <w:spacing w:line="480" w:lineRule="auto"/>
        <w:ind w:left="900" w:firstLine="360"/>
        <w:jc w:val="both"/>
        <w:rPr>
          <w:rFonts w:ascii="Times New Roman" w:hAnsi="Times New Roman" w:cs="Times New Roman"/>
          <w:sz w:val="26"/>
          <w:szCs w:val="26"/>
        </w:rPr>
      </w:pPr>
      <w:r w:rsidRPr="00DE236E">
        <w:rPr>
          <w:rFonts w:ascii="Times New Roman" w:hAnsi="Times New Roman" w:cs="Times New Roman"/>
          <w:sz w:val="26"/>
          <w:szCs w:val="26"/>
        </w:rPr>
        <w:t>“Possessed” means that the defendant knowingly</w:t>
      </w:r>
      <w:r w:rsidRPr="00DE236E">
        <w:rPr>
          <w:rStyle w:val="EndnoteReference"/>
          <w:rFonts w:ascii="Times New Roman" w:hAnsi="Times New Roman" w:cs="Times New Roman"/>
          <w:sz w:val="26"/>
          <w:szCs w:val="26"/>
        </w:rPr>
        <w:endnoteReference w:id="2"/>
      </w:r>
      <w:r w:rsidRPr="00DE236E">
        <w:rPr>
          <w:rFonts w:ascii="Times New Roman" w:hAnsi="Times New Roman" w:cs="Times New Roman"/>
          <w:sz w:val="26"/>
          <w:szCs w:val="26"/>
        </w:rPr>
        <w:t xml:space="preserve"> had the device under (his) (her) actual physical control.</w:t>
      </w:r>
    </w:p>
    <w:p w14:paraId="7CCEC200" w14:textId="15FF9018" w:rsidR="003B31DB" w:rsidRPr="00DE236E" w:rsidRDefault="003B31DB" w:rsidP="003B31DB">
      <w:pPr>
        <w:pStyle w:val="NoSpacing"/>
        <w:ind w:left="450" w:right="450"/>
        <w:jc w:val="both"/>
        <w:rPr>
          <w:rFonts w:ascii="Times New Roman" w:hAnsi="Times New Roman" w:cs="Times New Roman"/>
          <w:sz w:val="26"/>
          <w:szCs w:val="26"/>
        </w:rPr>
      </w:pPr>
      <w:r w:rsidRPr="00DE236E">
        <w:rPr>
          <w:rFonts w:ascii="Times New Roman" w:hAnsi="Times New Roman" w:cs="Times New Roman"/>
          <w:sz w:val="26"/>
          <w:szCs w:val="26"/>
        </w:rPr>
        <w:t>ADD THE FOLLOWING PARAGRAPHS THAT ARE SUPPORTED BY THE EVIDENCE.</w:t>
      </w:r>
      <w:r w:rsidRPr="00DE236E">
        <w:rPr>
          <w:rStyle w:val="EndnoteReference"/>
          <w:rFonts w:ascii="Times New Roman" w:hAnsi="Times New Roman" w:cs="Times New Roman"/>
          <w:sz w:val="26"/>
          <w:szCs w:val="26"/>
        </w:rPr>
        <w:endnoteReference w:id="3"/>
      </w:r>
    </w:p>
    <w:p w14:paraId="374F5417" w14:textId="77777777" w:rsidR="003B31DB" w:rsidRPr="00DE236E" w:rsidRDefault="003B31DB" w:rsidP="003B31DB">
      <w:pPr>
        <w:pStyle w:val="NoSpacing"/>
        <w:ind w:left="450" w:right="450"/>
        <w:jc w:val="both"/>
        <w:rPr>
          <w:rFonts w:ascii="Times New Roman" w:hAnsi="Times New Roman" w:cs="Times New Roman"/>
          <w:sz w:val="26"/>
          <w:szCs w:val="26"/>
        </w:rPr>
      </w:pPr>
    </w:p>
    <w:p w14:paraId="22F57BDA" w14:textId="2672311A" w:rsidR="003B31DB" w:rsidRPr="00DE236E" w:rsidRDefault="003B31DB" w:rsidP="003B31DB">
      <w:pPr>
        <w:pStyle w:val="NoSpacing"/>
        <w:spacing w:line="480" w:lineRule="auto"/>
        <w:ind w:left="900" w:firstLine="360"/>
        <w:jc w:val="both"/>
        <w:rPr>
          <w:rFonts w:ascii="Times New Roman" w:hAnsi="Times New Roman" w:cs="Times New Roman"/>
          <w:sz w:val="26"/>
          <w:szCs w:val="26"/>
        </w:rPr>
      </w:pPr>
      <w:r w:rsidRPr="00DE236E">
        <w:rPr>
          <w:rFonts w:ascii="Times New Roman" w:hAnsi="Times New Roman" w:cs="Times New Roman"/>
          <w:sz w:val="26"/>
          <w:szCs w:val="26"/>
        </w:rPr>
        <w:t>[An item is (also) in a person’s possession if it is in an area over which the person has control and the person intends to exercise control over the item.]</w:t>
      </w:r>
    </w:p>
    <w:p w14:paraId="3E9D2BCB" w14:textId="6171B3D6" w:rsidR="003B31DB" w:rsidRPr="00DE236E" w:rsidRDefault="003B31DB" w:rsidP="003B31DB">
      <w:pPr>
        <w:pStyle w:val="NoSpacing"/>
        <w:spacing w:line="480" w:lineRule="auto"/>
        <w:ind w:left="900" w:firstLine="360"/>
        <w:jc w:val="both"/>
        <w:rPr>
          <w:rFonts w:ascii="Times New Roman" w:hAnsi="Times New Roman" w:cs="Times New Roman"/>
          <w:sz w:val="26"/>
          <w:szCs w:val="26"/>
        </w:rPr>
      </w:pPr>
      <w:r w:rsidRPr="00DE236E">
        <w:rPr>
          <w:rFonts w:ascii="Times New Roman" w:hAnsi="Times New Roman" w:cs="Times New Roman"/>
          <w:sz w:val="26"/>
          <w:szCs w:val="26"/>
        </w:rPr>
        <w:t>[It is not required that a person own an item in order to possess it. What is required is that the person exercise control over the item.]</w:t>
      </w:r>
    </w:p>
    <w:p w14:paraId="620CF92C" w14:textId="26C0046C" w:rsidR="00B01420" w:rsidRPr="00DE236E" w:rsidRDefault="00B01420" w:rsidP="00B01420"/>
    <w:p w14:paraId="2F766B3E" w14:textId="6CFCF25A" w:rsidR="00B01420" w:rsidRPr="00DE236E" w:rsidRDefault="00B01420" w:rsidP="00B01420">
      <w:pPr>
        <w:tabs>
          <w:tab w:val="left" w:pos="7956"/>
        </w:tabs>
      </w:pPr>
      <w:r w:rsidRPr="00DE236E">
        <w:lastRenderedPageBreak/>
        <w:tab/>
      </w:r>
    </w:p>
    <w:p w14:paraId="2EA5DD2B" w14:textId="1DF6A46F" w:rsidR="003B31DB" w:rsidRPr="00DE236E" w:rsidRDefault="003B31DB" w:rsidP="003B31DB">
      <w:pPr>
        <w:pStyle w:val="NoSpacing"/>
        <w:spacing w:line="480" w:lineRule="auto"/>
        <w:ind w:left="900" w:firstLine="360"/>
        <w:jc w:val="both"/>
        <w:rPr>
          <w:rFonts w:ascii="Times New Roman" w:hAnsi="Times New Roman" w:cs="Times New Roman"/>
          <w:sz w:val="26"/>
          <w:szCs w:val="26"/>
        </w:rPr>
      </w:pPr>
      <w:r w:rsidRPr="00DE236E">
        <w:rPr>
          <w:rFonts w:ascii="Times New Roman" w:hAnsi="Times New Roman" w:cs="Times New Roman"/>
          <w:sz w:val="26"/>
          <w:szCs w:val="26"/>
        </w:rPr>
        <w:t>[Possession may be shared with another person. If a person exercises control over an item, that item is in his possession, even though another person may also have similar control.]</w:t>
      </w:r>
    </w:p>
    <w:p w14:paraId="2C228CF8" w14:textId="2E0C2BDC" w:rsidR="003B31DB" w:rsidRPr="00DE236E" w:rsidRDefault="003B31DB" w:rsidP="003B31DB">
      <w:pPr>
        <w:pStyle w:val="NoSpacing"/>
        <w:spacing w:line="480" w:lineRule="auto"/>
        <w:ind w:left="900" w:hanging="450"/>
        <w:jc w:val="both"/>
        <w:rPr>
          <w:rFonts w:ascii="Times New Roman" w:hAnsi="Times New Roman" w:cs="Times New Roman"/>
          <w:sz w:val="26"/>
          <w:szCs w:val="26"/>
        </w:rPr>
      </w:pPr>
      <w:r w:rsidRPr="00DE236E">
        <w:rPr>
          <w:rFonts w:ascii="Times New Roman" w:hAnsi="Times New Roman" w:cs="Times New Roman"/>
          <w:sz w:val="26"/>
          <w:szCs w:val="26"/>
        </w:rPr>
        <w:t>2.</w:t>
      </w:r>
      <w:r w:rsidRPr="00DE236E">
        <w:rPr>
          <w:rFonts w:ascii="Times New Roman" w:hAnsi="Times New Roman" w:cs="Times New Roman"/>
          <w:sz w:val="26"/>
          <w:szCs w:val="26"/>
        </w:rPr>
        <w:tab/>
        <w:t>The device was an improvised explosive device.</w:t>
      </w:r>
      <w:r w:rsidR="00926949" w:rsidRPr="00DE236E">
        <w:rPr>
          <w:rStyle w:val="EndnoteReference"/>
          <w:rFonts w:ascii="Times New Roman" w:hAnsi="Times New Roman" w:cs="Times New Roman"/>
          <w:sz w:val="26"/>
          <w:szCs w:val="26"/>
        </w:rPr>
        <w:endnoteReference w:id="4"/>
      </w:r>
      <w:r w:rsidRPr="00DE236E">
        <w:rPr>
          <w:rFonts w:ascii="Times New Roman" w:hAnsi="Times New Roman" w:cs="Times New Roman"/>
          <w:sz w:val="26"/>
          <w:szCs w:val="26"/>
        </w:rPr>
        <w:t xml:space="preserve"> This requires:</w:t>
      </w:r>
    </w:p>
    <w:p w14:paraId="35C72C16" w14:textId="2E5CE49D" w:rsidR="003B31DB" w:rsidRPr="00DE236E" w:rsidRDefault="003B31DB" w:rsidP="003B31DB">
      <w:pPr>
        <w:pStyle w:val="NoSpacing"/>
        <w:numPr>
          <w:ilvl w:val="0"/>
          <w:numId w:val="1"/>
        </w:numPr>
        <w:spacing w:line="480" w:lineRule="auto"/>
        <w:ind w:left="1260"/>
        <w:jc w:val="both"/>
        <w:rPr>
          <w:rFonts w:ascii="Times New Roman" w:hAnsi="Times New Roman" w:cs="Times New Roman"/>
          <w:sz w:val="26"/>
          <w:szCs w:val="26"/>
        </w:rPr>
      </w:pPr>
      <w:r w:rsidRPr="00DE236E">
        <w:rPr>
          <w:rFonts w:ascii="Times New Roman" w:hAnsi="Times New Roman" w:cs="Times New Roman"/>
          <w:sz w:val="26"/>
          <w:szCs w:val="26"/>
        </w:rPr>
        <w:t>that the device was explosive; that is, that it contained some type of explosive material</w:t>
      </w:r>
      <w:r w:rsidR="00926949" w:rsidRPr="00DE236E">
        <w:rPr>
          <w:rStyle w:val="EndnoteReference"/>
          <w:rFonts w:ascii="Times New Roman" w:hAnsi="Times New Roman" w:cs="Times New Roman"/>
          <w:sz w:val="26"/>
          <w:szCs w:val="26"/>
        </w:rPr>
        <w:endnoteReference w:id="5"/>
      </w:r>
      <w:r w:rsidRPr="00DE236E">
        <w:rPr>
          <w:rFonts w:ascii="Times New Roman" w:hAnsi="Times New Roman" w:cs="Times New Roman"/>
          <w:sz w:val="26"/>
          <w:szCs w:val="26"/>
        </w:rPr>
        <w:t xml:space="preserve"> and a means of detonating that material; and</w:t>
      </w:r>
    </w:p>
    <w:p w14:paraId="3BD9AF83" w14:textId="77777777" w:rsidR="003B31DB" w:rsidRPr="00DE236E" w:rsidRDefault="003B31DB" w:rsidP="003B31DB">
      <w:pPr>
        <w:pStyle w:val="NoSpacing"/>
        <w:numPr>
          <w:ilvl w:val="0"/>
          <w:numId w:val="1"/>
        </w:numPr>
        <w:spacing w:line="480" w:lineRule="auto"/>
        <w:ind w:left="1260"/>
        <w:jc w:val="both"/>
        <w:rPr>
          <w:rFonts w:ascii="Times New Roman" w:hAnsi="Times New Roman" w:cs="Times New Roman"/>
          <w:sz w:val="26"/>
          <w:szCs w:val="26"/>
        </w:rPr>
      </w:pPr>
      <w:r w:rsidRPr="00DE236E">
        <w:rPr>
          <w:rFonts w:ascii="Times New Roman" w:hAnsi="Times New Roman" w:cs="Times New Roman"/>
          <w:sz w:val="26"/>
          <w:szCs w:val="26"/>
        </w:rPr>
        <w:t>that the device was destructive; that is, that it was capable of causing bodily harm or damage to property; and</w:t>
      </w:r>
    </w:p>
    <w:p w14:paraId="5248FDA1" w14:textId="3ACEA1D1" w:rsidR="003B31DB" w:rsidRPr="00DE236E" w:rsidRDefault="003B31DB" w:rsidP="003B31DB">
      <w:pPr>
        <w:pStyle w:val="NoSpacing"/>
        <w:numPr>
          <w:ilvl w:val="0"/>
          <w:numId w:val="1"/>
        </w:numPr>
        <w:spacing w:line="480" w:lineRule="auto"/>
        <w:ind w:left="1260"/>
        <w:jc w:val="both"/>
        <w:rPr>
          <w:rFonts w:ascii="Times New Roman" w:hAnsi="Times New Roman" w:cs="Times New Roman"/>
          <w:sz w:val="26"/>
          <w:szCs w:val="26"/>
        </w:rPr>
      </w:pPr>
      <w:r w:rsidRPr="00DE236E">
        <w:rPr>
          <w:rFonts w:ascii="Times New Roman" w:hAnsi="Times New Roman" w:cs="Times New Roman"/>
          <w:sz w:val="26"/>
          <w:szCs w:val="26"/>
        </w:rPr>
        <w:t>that the device was improvised; that is, that it was made by a person not engaged in the legitimate manufacture or use of explosives (or otherwise authorized by law to do so).</w:t>
      </w:r>
      <w:r w:rsidR="00926949" w:rsidRPr="00DE236E">
        <w:rPr>
          <w:rStyle w:val="EndnoteReference"/>
          <w:rFonts w:ascii="Times New Roman" w:hAnsi="Times New Roman" w:cs="Times New Roman"/>
          <w:sz w:val="26"/>
          <w:szCs w:val="26"/>
        </w:rPr>
        <w:endnoteReference w:id="6"/>
      </w:r>
      <w:r w:rsidRPr="00DE236E">
        <w:rPr>
          <w:rFonts w:ascii="Times New Roman" w:hAnsi="Times New Roman" w:cs="Times New Roman"/>
          <w:sz w:val="26"/>
          <w:szCs w:val="26"/>
        </w:rPr>
        <w:t xml:space="preserve"> </w:t>
      </w:r>
    </w:p>
    <w:p w14:paraId="5536DC23" w14:textId="1863E11D" w:rsidR="003B31DB" w:rsidRPr="00DE236E" w:rsidRDefault="003B31DB" w:rsidP="003B31DB">
      <w:pPr>
        <w:pStyle w:val="NoSpacing"/>
        <w:spacing w:line="480" w:lineRule="auto"/>
        <w:ind w:left="900" w:firstLine="360"/>
        <w:jc w:val="both"/>
        <w:rPr>
          <w:rFonts w:ascii="Times New Roman" w:hAnsi="Times New Roman" w:cs="Times New Roman"/>
          <w:sz w:val="26"/>
          <w:szCs w:val="26"/>
        </w:rPr>
      </w:pPr>
      <w:r w:rsidRPr="00DE236E">
        <w:rPr>
          <w:rFonts w:ascii="Times New Roman" w:hAnsi="Times New Roman" w:cs="Times New Roman"/>
          <w:sz w:val="26"/>
          <w:szCs w:val="26"/>
        </w:rPr>
        <w:t>[“Improvised explosive device” does not include ammunition for any rifle, pistol, or shotgun.]</w:t>
      </w:r>
      <w:r w:rsidR="00926949" w:rsidRPr="00DE236E">
        <w:rPr>
          <w:rStyle w:val="EndnoteReference"/>
          <w:rFonts w:ascii="Times New Roman" w:hAnsi="Times New Roman" w:cs="Times New Roman"/>
          <w:sz w:val="26"/>
          <w:szCs w:val="26"/>
        </w:rPr>
        <w:endnoteReference w:id="7"/>
      </w:r>
      <w:r w:rsidRPr="00DE236E">
        <w:rPr>
          <w:rFonts w:ascii="Times New Roman" w:hAnsi="Times New Roman" w:cs="Times New Roman"/>
          <w:sz w:val="26"/>
          <w:szCs w:val="26"/>
        </w:rPr>
        <w:t xml:space="preserve"> </w:t>
      </w:r>
    </w:p>
    <w:p w14:paraId="34A8029B" w14:textId="4A03B015" w:rsidR="003B31DB" w:rsidRPr="00DE236E" w:rsidRDefault="003B31DB" w:rsidP="003B31DB">
      <w:pPr>
        <w:pStyle w:val="NoSpacing"/>
        <w:spacing w:line="480" w:lineRule="auto"/>
        <w:jc w:val="center"/>
        <w:rPr>
          <w:rFonts w:ascii="Times New Roman" w:hAnsi="Times New Roman" w:cs="Times New Roman"/>
          <w:b/>
          <w:bCs/>
          <w:sz w:val="26"/>
          <w:szCs w:val="26"/>
        </w:rPr>
      </w:pPr>
      <w:r w:rsidRPr="00DE236E">
        <w:rPr>
          <w:rFonts w:ascii="Times New Roman" w:hAnsi="Times New Roman" w:cs="Times New Roman"/>
          <w:b/>
          <w:bCs/>
          <w:sz w:val="26"/>
          <w:szCs w:val="26"/>
        </w:rPr>
        <w:t>Deciding About Knowledge</w:t>
      </w:r>
    </w:p>
    <w:p w14:paraId="2C78D09F" w14:textId="0721A14B" w:rsidR="003B31DB" w:rsidRPr="00DE236E" w:rsidRDefault="003B31DB" w:rsidP="003B31DB">
      <w:pPr>
        <w:pStyle w:val="NoSpacing"/>
        <w:spacing w:line="480" w:lineRule="auto"/>
        <w:ind w:firstLine="450"/>
        <w:jc w:val="both"/>
        <w:rPr>
          <w:rFonts w:ascii="Times New Roman" w:hAnsi="Times New Roman" w:cs="Times New Roman"/>
          <w:sz w:val="26"/>
          <w:szCs w:val="26"/>
        </w:rPr>
      </w:pPr>
      <w:r w:rsidRPr="00DE236E">
        <w:rPr>
          <w:rFonts w:ascii="Times New Roman" w:hAnsi="Times New Roman" w:cs="Times New Roman"/>
          <w:sz w:val="26"/>
          <w:szCs w:val="26"/>
        </w:rPr>
        <w:t>You cannot look into a person’s mind to find knowledge. Knowledge must be found, if found at all, from the defendant’s acts, words, and statements, if any, and from all the facts and circumstances in this case bearing upon knowledge.</w:t>
      </w:r>
    </w:p>
    <w:p w14:paraId="31E83536" w14:textId="4D6624D8" w:rsidR="003B31DB" w:rsidRPr="00DE236E" w:rsidRDefault="003B31DB" w:rsidP="003B31DB">
      <w:pPr>
        <w:pStyle w:val="NoSpacing"/>
        <w:spacing w:line="480" w:lineRule="auto"/>
        <w:jc w:val="center"/>
        <w:rPr>
          <w:rFonts w:ascii="Times New Roman" w:hAnsi="Times New Roman" w:cs="Times New Roman"/>
          <w:b/>
          <w:bCs/>
          <w:sz w:val="26"/>
          <w:szCs w:val="26"/>
        </w:rPr>
      </w:pPr>
      <w:r w:rsidRPr="00DE236E">
        <w:rPr>
          <w:rFonts w:ascii="Times New Roman" w:hAnsi="Times New Roman" w:cs="Times New Roman"/>
          <w:b/>
          <w:bCs/>
          <w:sz w:val="26"/>
          <w:szCs w:val="26"/>
        </w:rPr>
        <w:t>Jury’s Decision</w:t>
      </w:r>
    </w:p>
    <w:p w14:paraId="344E1D1A" w14:textId="77777777" w:rsidR="003B31DB" w:rsidRPr="00DE236E" w:rsidRDefault="003B31DB" w:rsidP="003B31DB">
      <w:pPr>
        <w:pStyle w:val="NoSpacing"/>
        <w:spacing w:line="480" w:lineRule="auto"/>
        <w:ind w:firstLine="450"/>
        <w:jc w:val="both"/>
        <w:rPr>
          <w:rFonts w:ascii="Times New Roman" w:hAnsi="Times New Roman" w:cs="Times New Roman"/>
          <w:sz w:val="26"/>
          <w:szCs w:val="26"/>
        </w:rPr>
      </w:pPr>
      <w:r w:rsidRPr="00DE236E">
        <w:rPr>
          <w:rFonts w:ascii="Times New Roman" w:hAnsi="Times New Roman" w:cs="Times New Roman"/>
          <w:sz w:val="26"/>
          <w:szCs w:val="26"/>
        </w:rPr>
        <w:t>If you are satisfied beyond a reasonable doubt that both elements of this offense have been proved, you should find the defendant guilty.</w:t>
      </w:r>
    </w:p>
    <w:p w14:paraId="33BF4909" w14:textId="77777777" w:rsidR="003B31DB" w:rsidRPr="00DE236E" w:rsidRDefault="003B31DB" w:rsidP="003B31DB">
      <w:pPr>
        <w:pStyle w:val="NoSpacing"/>
        <w:spacing w:line="480" w:lineRule="auto"/>
        <w:ind w:firstLine="450"/>
        <w:jc w:val="both"/>
        <w:rPr>
          <w:rFonts w:ascii="Times New Roman" w:hAnsi="Times New Roman" w:cs="Times New Roman"/>
          <w:sz w:val="26"/>
          <w:szCs w:val="26"/>
        </w:rPr>
      </w:pPr>
      <w:r w:rsidRPr="00DE236E">
        <w:rPr>
          <w:rFonts w:ascii="Times New Roman" w:hAnsi="Times New Roman" w:cs="Times New Roman"/>
          <w:sz w:val="26"/>
          <w:szCs w:val="26"/>
        </w:rPr>
        <w:lastRenderedPageBreak/>
        <w:t>If you are not so satisfied, you must find the defendant not guilty.</w:t>
      </w:r>
    </w:p>
    <w:p w14:paraId="4C61A8E6" w14:textId="2AE932BE" w:rsidR="003B31DB" w:rsidRPr="00DE236E" w:rsidRDefault="003B31DB" w:rsidP="003B31DB">
      <w:pPr>
        <w:pStyle w:val="NoSpacing"/>
        <w:jc w:val="both"/>
        <w:rPr>
          <w:rFonts w:ascii="Times New Roman" w:hAnsi="Times New Roman" w:cs="Times New Roman"/>
          <w:sz w:val="26"/>
          <w:szCs w:val="26"/>
        </w:rPr>
      </w:pPr>
    </w:p>
    <w:p w14:paraId="4F4C7A50" w14:textId="63278132" w:rsidR="003B31DB" w:rsidRPr="00DE236E" w:rsidRDefault="003B31DB" w:rsidP="003B31DB">
      <w:pPr>
        <w:pStyle w:val="NoSpacing"/>
        <w:jc w:val="both"/>
        <w:rPr>
          <w:rFonts w:ascii="Times New Roman" w:hAnsi="Times New Roman" w:cs="Times New Roman"/>
          <w:sz w:val="26"/>
          <w:szCs w:val="26"/>
        </w:rPr>
      </w:pPr>
    </w:p>
    <w:p w14:paraId="7D944AA7" w14:textId="702F4918" w:rsidR="003B31DB" w:rsidRPr="00DE236E" w:rsidRDefault="003B31DB" w:rsidP="003B31DB">
      <w:pPr>
        <w:pStyle w:val="NoSpacing"/>
        <w:jc w:val="both"/>
        <w:rPr>
          <w:rFonts w:ascii="Times New Roman" w:hAnsi="Times New Roman" w:cs="Times New Roman"/>
          <w:sz w:val="26"/>
          <w:szCs w:val="26"/>
        </w:rPr>
      </w:pPr>
    </w:p>
    <w:p w14:paraId="611423D7" w14:textId="0DC657C4" w:rsidR="003B31DB" w:rsidRPr="00DE236E" w:rsidRDefault="003B31DB" w:rsidP="003B31DB">
      <w:pPr>
        <w:pStyle w:val="NoSpacing"/>
        <w:jc w:val="both"/>
        <w:rPr>
          <w:rFonts w:ascii="Times New Roman" w:hAnsi="Times New Roman" w:cs="Times New Roman"/>
          <w:sz w:val="26"/>
          <w:szCs w:val="26"/>
        </w:rPr>
      </w:pPr>
    </w:p>
    <w:p w14:paraId="0D21A01F" w14:textId="77777777" w:rsidR="003B31DB" w:rsidRPr="00DE236E" w:rsidRDefault="003B31DB" w:rsidP="003B31DB">
      <w:pPr>
        <w:pStyle w:val="NoSpacing"/>
        <w:jc w:val="both"/>
        <w:rPr>
          <w:rFonts w:ascii="Times New Roman" w:hAnsi="Times New Roman" w:cs="Times New Roman"/>
          <w:sz w:val="26"/>
          <w:szCs w:val="26"/>
        </w:rPr>
      </w:pPr>
    </w:p>
    <w:p w14:paraId="59995618" w14:textId="77777777" w:rsidR="003B31DB" w:rsidRPr="00DE236E" w:rsidRDefault="003B31DB" w:rsidP="003B31DB">
      <w:pPr>
        <w:pStyle w:val="NoSpacing"/>
        <w:jc w:val="both"/>
        <w:rPr>
          <w:rFonts w:ascii="Times New Roman" w:hAnsi="Times New Roman" w:cs="Times New Roman"/>
          <w:b/>
          <w:bCs/>
        </w:rPr>
      </w:pPr>
      <w:r w:rsidRPr="00DE236E">
        <w:rPr>
          <w:rFonts w:ascii="Times New Roman" w:hAnsi="Times New Roman" w:cs="Times New Roman"/>
          <w:b/>
          <w:bCs/>
        </w:rPr>
        <w:t>COMMENT</w:t>
      </w:r>
    </w:p>
    <w:p w14:paraId="6A88CF0D" w14:textId="77777777" w:rsidR="003B31DB" w:rsidRPr="00DE236E" w:rsidRDefault="003B31DB" w:rsidP="003B31DB">
      <w:pPr>
        <w:pStyle w:val="NoSpacing"/>
        <w:jc w:val="both"/>
        <w:rPr>
          <w:rFonts w:ascii="Times New Roman" w:hAnsi="Times New Roman" w:cs="Times New Roman"/>
        </w:rPr>
      </w:pPr>
    </w:p>
    <w:p w14:paraId="1D7C1AFD" w14:textId="3FFB7735" w:rsidR="003B31DB" w:rsidRPr="00DE236E" w:rsidRDefault="003B31DB" w:rsidP="003B31DB">
      <w:pPr>
        <w:pStyle w:val="NoSpacing"/>
        <w:ind w:firstLine="450"/>
        <w:jc w:val="both"/>
        <w:rPr>
          <w:rFonts w:ascii="Times New Roman" w:hAnsi="Times New Roman" w:cs="Times New Roman"/>
        </w:rPr>
      </w:pPr>
      <w:r w:rsidRPr="00DE236E">
        <w:rPr>
          <w:rFonts w:ascii="Times New Roman" w:hAnsi="Times New Roman" w:cs="Times New Roman"/>
        </w:rPr>
        <w:t xml:space="preserve">This instruction was originally published </w:t>
      </w:r>
      <w:r w:rsidR="006241F0">
        <w:rPr>
          <w:rFonts w:ascii="Times New Roman" w:hAnsi="Times New Roman" w:cs="Times New Roman"/>
        </w:rPr>
        <w:t xml:space="preserve">as </w:t>
      </w:r>
      <w:r w:rsidRPr="00DE236E">
        <w:rPr>
          <w:rFonts w:ascii="Times New Roman" w:hAnsi="Times New Roman" w:cs="Times New Roman"/>
        </w:rPr>
        <w:t xml:space="preserve">Wis JI–Criminal 1351 in 1988. It was renumbered </w:t>
      </w:r>
      <w:r w:rsidR="008D59AB" w:rsidRPr="008D59AB">
        <w:rPr>
          <w:rFonts w:ascii="Times New Roman" w:hAnsi="Times New Roman" w:cs="Times New Roman"/>
        </w:rPr>
        <w:t xml:space="preserve">Wis JI–Criminal </w:t>
      </w:r>
      <w:r w:rsidRPr="00DE236E">
        <w:rPr>
          <w:rFonts w:ascii="Times New Roman" w:hAnsi="Times New Roman" w:cs="Times New Roman"/>
        </w:rPr>
        <w:t>1351A in 1996, and revised in 1996 and 2008. This revision was approved by the Committee in</w:t>
      </w:r>
      <w:r w:rsidR="00B01420" w:rsidRPr="00DE236E">
        <w:rPr>
          <w:rFonts w:ascii="Times New Roman" w:hAnsi="Times New Roman" w:cs="Times New Roman"/>
        </w:rPr>
        <w:t xml:space="preserve"> June 2026</w:t>
      </w:r>
      <w:r w:rsidRPr="00DE236E">
        <w:rPr>
          <w:rFonts w:ascii="Times New Roman" w:hAnsi="Times New Roman" w:cs="Times New Roman"/>
        </w:rPr>
        <w:t>.</w:t>
      </w:r>
      <w:r w:rsidR="00344AAB">
        <w:rPr>
          <w:rFonts w:ascii="Times New Roman" w:hAnsi="Times New Roman" w:cs="Times New Roman"/>
        </w:rPr>
        <w:t xml:space="preserve"> </w:t>
      </w:r>
      <w:r w:rsidR="00B01420" w:rsidRPr="00DE236E">
        <w:rPr>
          <w:rFonts w:ascii="Times New Roman" w:hAnsi="Times New Roman" w:cs="Times New Roman"/>
        </w:rPr>
        <w:t xml:space="preserve">It updated the comment. </w:t>
      </w:r>
    </w:p>
    <w:p w14:paraId="3D2419A7" w14:textId="77777777" w:rsidR="003B31DB" w:rsidRPr="00DE236E" w:rsidRDefault="003B31DB" w:rsidP="003B31DB">
      <w:pPr>
        <w:pStyle w:val="NoSpacing"/>
        <w:jc w:val="both"/>
        <w:rPr>
          <w:rFonts w:ascii="Times New Roman" w:hAnsi="Times New Roman" w:cs="Times New Roman"/>
        </w:rPr>
      </w:pPr>
    </w:p>
    <w:p w14:paraId="2CF8E8EC" w14:textId="06A433EF" w:rsidR="003B31DB" w:rsidRPr="00DE236E" w:rsidRDefault="003B31DB" w:rsidP="009E3BFE">
      <w:pPr>
        <w:pStyle w:val="NoSpacing"/>
        <w:ind w:firstLine="450"/>
        <w:jc w:val="both"/>
        <w:rPr>
          <w:rFonts w:ascii="Times New Roman" w:hAnsi="Times New Roman" w:cs="Times New Roman"/>
        </w:rPr>
      </w:pPr>
      <w:r w:rsidRPr="00DE236E">
        <w:rPr>
          <w:rFonts w:ascii="Times New Roman" w:hAnsi="Times New Roman" w:cs="Times New Roman"/>
        </w:rPr>
        <w:t>This instruction is for one type of violation of subsection (2)</w:t>
      </w:r>
      <w:r w:rsidR="009E3BFE">
        <w:rPr>
          <w:rFonts w:ascii="Times New Roman" w:hAnsi="Times New Roman" w:cs="Times New Roman"/>
        </w:rPr>
        <w:t>(b)</w:t>
      </w:r>
      <w:r w:rsidRPr="00DE236E">
        <w:rPr>
          <w:rFonts w:ascii="Times New Roman" w:hAnsi="Times New Roman" w:cs="Times New Roman"/>
        </w:rPr>
        <w:t xml:space="preserve"> of § </w:t>
      </w:r>
      <w:r w:rsidR="009E3BFE" w:rsidRPr="009E3BFE">
        <w:rPr>
          <w:rFonts w:ascii="Times New Roman" w:hAnsi="Times New Roman" w:cs="Times New Roman"/>
        </w:rPr>
        <w:t>941.31</w:t>
      </w:r>
      <w:r w:rsidRPr="00DE236E">
        <w:rPr>
          <w:rFonts w:ascii="Times New Roman" w:hAnsi="Times New Roman" w:cs="Times New Roman"/>
        </w:rPr>
        <w:t>, which is punishable as a Class H felony. The statute was created by 1987 Wisconsin Act 234 (effective date: April 21, 1988).</w:t>
      </w:r>
      <w:r w:rsidR="00DE236E" w:rsidRPr="00DE236E">
        <w:rPr>
          <w:rFonts w:ascii="Times New Roman" w:hAnsi="Times New Roman" w:cs="Times New Roman"/>
        </w:rPr>
        <w:t xml:space="preserve"> </w:t>
      </w:r>
      <w:r w:rsidRPr="00DE236E">
        <w:rPr>
          <w:rFonts w:ascii="Times New Roman" w:hAnsi="Times New Roman" w:cs="Times New Roman"/>
        </w:rPr>
        <w:t>Possession of an explosive compound with intent to use it to commit a crime is prohibited by § 94</w:t>
      </w:r>
      <w:r w:rsidR="009E3BFE">
        <w:rPr>
          <w:rFonts w:ascii="Times New Roman" w:hAnsi="Times New Roman" w:cs="Times New Roman"/>
        </w:rPr>
        <w:t>1</w:t>
      </w:r>
      <w:r w:rsidRPr="00DE236E">
        <w:rPr>
          <w:rFonts w:ascii="Times New Roman" w:hAnsi="Times New Roman" w:cs="Times New Roman"/>
        </w:rPr>
        <w:t>.31(1). See Wis JI–Criminal 1350.</w:t>
      </w:r>
    </w:p>
    <w:p w14:paraId="640C63A0" w14:textId="77777777" w:rsidR="003B31DB" w:rsidRPr="00DE236E" w:rsidRDefault="003B31DB" w:rsidP="003B31DB">
      <w:pPr>
        <w:pStyle w:val="NoSpacing"/>
        <w:jc w:val="both"/>
        <w:rPr>
          <w:rFonts w:ascii="Times New Roman" w:hAnsi="Times New Roman" w:cs="Times New Roman"/>
        </w:rPr>
      </w:pPr>
    </w:p>
    <w:p w14:paraId="4A56CC50" w14:textId="77777777" w:rsidR="003B31DB" w:rsidRPr="00DE236E" w:rsidRDefault="003B31DB" w:rsidP="003B31DB">
      <w:pPr>
        <w:pStyle w:val="NoSpacing"/>
        <w:ind w:firstLine="450"/>
        <w:jc w:val="both"/>
        <w:rPr>
          <w:rFonts w:ascii="Times New Roman" w:hAnsi="Times New Roman" w:cs="Times New Roman"/>
        </w:rPr>
      </w:pPr>
      <w:r w:rsidRPr="00DE236E">
        <w:rPr>
          <w:rFonts w:ascii="Times New Roman" w:hAnsi="Times New Roman" w:cs="Times New Roman"/>
        </w:rPr>
        <w:t>Subsection (2)(c) of § 941.31 provides exceptions to the coverage of the statute:</w:t>
      </w:r>
    </w:p>
    <w:p w14:paraId="7EE8F512" w14:textId="77777777" w:rsidR="003B31DB" w:rsidRPr="00DE236E" w:rsidRDefault="003B31DB" w:rsidP="003B31DB">
      <w:pPr>
        <w:pStyle w:val="NoSpacing"/>
        <w:jc w:val="both"/>
        <w:rPr>
          <w:rFonts w:ascii="Times New Roman" w:hAnsi="Times New Roman" w:cs="Times New Roman"/>
        </w:rPr>
      </w:pPr>
    </w:p>
    <w:p w14:paraId="3E451479" w14:textId="60D65F07" w:rsidR="003B31DB" w:rsidRPr="00DE236E" w:rsidRDefault="003B31DB" w:rsidP="00DE236E">
      <w:pPr>
        <w:pStyle w:val="NoSpacing"/>
        <w:ind w:left="450" w:right="450"/>
        <w:jc w:val="both"/>
        <w:rPr>
          <w:rFonts w:ascii="Times New Roman" w:hAnsi="Times New Roman" w:cs="Times New Roman"/>
        </w:rPr>
      </w:pPr>
      <w:r w:rsidRPr="00DE236E">
        <w:rPr>
          <w:rFonts w:ascii="Times New Roman" w:hAnsi="Times New Roman" w:cs="Times New Roman"/>
        </w:rPr>
        <w:t>This subsection does not apply to the transportation, possession, use or transfer of any improvised explosive device by any armed forces or national guard personnel or to any peace officer in the line of duty or as part of a duty related function or exercise. The restriction on transportation in this subsection does not apply to common carriers.</w:t>
      </w:r>
      <w:r w:rsidR="00FC060F" w:rsidRPr="00DE236E">
        <w:rPr>
          <w:rFonts w:ascii="Times New Roman" w:hAnsi="Times New Roman" w:cs="Times New Roman"/>
        </w:rPr>
        <w:t xml:space="preserve"> Notwithstanding s. 939.22(22), this paragraph does not apply to a commission warden.</w:t>
      </w:r>
    </w:p>
    <w:sectPr w:rsidR="003B31DB" w:rsidRPr="00DE236E" w:rsidSect="00DE236E">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0920A" w14:textId="77777777" w:rsidR="003B31DB" w:rsidRDefault="003B31DB" w:rsidP="003B31DB">
      <w:r>
        <w:separator/>
      </w:r>
    </w:p>
  </w:endnote>
  <w:endnote w:type="continuationSeparator" w:id="0">
    <w:p w14:paraId="4A16E04F" w14:textId="77777777" w:rsidR="003B31DB" w:rsidRDefault="003B31DB" w:rsidP="003B31DB">
      <w:r>
        <w:continuationSeparator/>
      </w:r>
    </w:p>
  </w:endnote>
  <w:endnote w:id="1">
    <w:p w14:paraId="0145AF49" w14:textId="629C5372" w:rsidR="00926949" w:rsidRPr="00DE236E" w:rsidRDefault="003B31DB" w:rsidP="00926949">
      <w:pPr>
        <w:pStyle w:val="EndnoteText"/>
        <w:tabs>
          <w:tab w:val="left" w:pos="900"/>
        </w:tabs>
        <w:ind w:firstLine="450"/>
        <w:jc w:val="both"/>
        <w:rPr>
          <w:sz w:val="22"/>
          <w:szCs w:val="22"/>
        </w:rPr>
      </w:pPr>
      <w:r w:rsidRPr="00DE236E">
        <w:endnoteRef/>
      </w:r>
      <w:r w:rsidR="00926949" w:rsidRPr="00DE236E">
        <w:t>.</w:t>
      </w:r>
      <w:r w:rsidRPr="00DE236E">
        <w:t xml:space="preserve"> </w:t>
      </w:r>
      <w:r w:rsidR="00926949" w:rsidRPr="00DE236E">
        <w:tab/>
      </w:r>
      <w:r w:rsidR="00926949" w:rsidRPr="00DE236E">
        <w:rPr>
          <w:sz w:val="22"/>
          <w:szCs w:val="22"/>
        </w:rPr>
        <w:t xml:space="preserve">The instruction is drafted for a violation of the statute involving “possession.” The statute also applies to one who “makes, buys, </w:t>
      </w:r>
      <w:r w:rsidR="009E3BFE">
        <w:rPr>
          <w:sz w:val="22"/>
          <w:szCs w:val="22"/>
        </w:rPr>
        <w:t xml:space="preserve">sells, </w:t>
      </w:r>
      <w:r w:rsidR="00926949" w:rsidRPr="00DE236E">
        <w:rPr>
          <w:sz w:val="22"/>
          <w:szCs w:val="22"/>
        </w:rPr>
        <w:t>transports, uses or transfers . . . or possesses materials or components with intent to assemble any improvised explosive device.” If one of the other alternatives is involved, the instruction must be modified (though most necessarily will involve possession).</w:t>
      </w:r>
    </w:p>
    <w:p w14:paraId="696226BC" w14:textId="77777777" w:rsidR="00926949" w:rsidRPr="00DE236E" w:rsidRDefault="00926949" w:rsidP="00926949">
      <w:pPr>
        <w:pStyle w:val="EndnoteText"/>
        <w:jc w:val="both"/>
        <w:rPr>
          <w:sz w:val="22"/>
          <w:szCs w:val="22"/>
        </w:rPr>
      </w:pPr>
    </w:p>
    <w:p w14:paraId="7286CE76" w14:textId="77777777" w:rsidR="00926949" w:rsidRPr="00DE236E" w:rsidRDefault="00926949" w:rsidP="00926949">
      <w:pPr>
        <w:pStyle w:val="EndnoteText"/>
        <w:ind w:firstLine="450"/>
        <w:jc w:val="both"/>
        <w:rPr>
          <w:sz w:val="22"/>
          <w:szCs w:val="22"/>
        </w:rPr>
      </w:pPr>
      <w:r w:rsidRPr="00DE236E">
        <w:rPr>
          <w:sz w:val="22"/>
          <w:szCs w:val="22"/>
        </w:rPr>
        <w:t xml:space="preserve">Section 939.22(40) defines “transfer” as follows:  </w:t>
      </w:r>
    </w:p>
    <w:p w14:paraId="23683FF7" w14:textId="77777777" w:rsidR="00926949" w:rsidRPr="00DE236E" w:rsidRDefault="00926949" w:rsidP="00926949">
      <w:pPr>
        <w:pStyle w:val="EndnoteText"/>
        <w:ind w:firstLine="450"/>
        <w:jc w:val="both"/>
        <w:rPr>
          <w:sz w:val="22"/>
          <w:szCs w:val="22"/>
        </w:rPr>
      </w:pPr>
    </w:p>
    <w:p w14:paraId="4AACD9EC" w14:textId="7411E46C" w:rsidR="003B31DB" w:rsidRPr="00DE236E" w:rsidRDefault="00926949" w:rsidP="00926949">
      <w:pPr>
        <w:pStyle w:val="EndnoteText"/>
        <w:ind w:left="450" w:right="450"/>
        <w:jc w:val="both"/>
        <w:rPr>
          <w:sz w:val="22"/>
          <w:szCs w:val="22"/>
        </w:rPr>
      </w:pPr>
      <w:r w:rsidRPr="00DE236E">
        <w:rPr>
          <w:sz w:val="22"/>
          <w:szCs w:val="22"/>
        </w:rPr>
        <w:t>“Transfer means any transaction involving a change in possession of any property or a change of right, title, or interest to or in any property.”</w:t>
      </w:r>
    </w:p>
    <w:p w14:paraId="6D74E803" w14:textId="77777777" w:rsidR="00926949" w:rsidRPr="00DE236E" w:rsidRDefault="00926949" w:rsidP="00926949">
      <w:pPr>
        <w:pStyle w:val="EndnoteText"/>
        <w:ind w:left="450" w:right="450"/>
        <w:jc w:val="both"/>
        <w:rPr>
          <w:sz w:val="22"/>
          <w:szCs w:val="22"/>
        </w:rPr>
      </w:pPr>
    </w:p>
  </w:endnote>
  <w:endnote w:id="2">
    <w:p w14:paraId="782A06AA" w14:textId="2D18F995" w:rsidR="003B31DB" w:rsidRPr="00DE236E" w:rsidRDefault="003B31DB" w:rsidP="00926949">
      <w:pPr>
        <w:pStyle w:val="EndnoteText"/>
        <w:tabs>
          <w:tab w:val="left" w:pos="900"/>
        </w:tabs>
        <w:ind w:firstLine="450"/>
        <w:jc w:val="both"/>
        <w:rPr>
          <w:sz w:val="22"/>
          <w:szCs w:val="22"/>
        </w:rPr>
      </w:pPr>
      <w:r w:rsidRPr="00DE236E">
        <w:rPr>
          <w:sz w:val="22"/>
          <w:szCs w:val="22"/>
        </w:rPr>
        <w:endnoteRef/>
      </w:r>
      <w:r w:rsidR="00926949" w:rsidRPr="00DE236E">
        <w:rPr>
          <w:sz w:val="22"/>
          <w:szCs w:val="22"/>
        </w:rPr>
        <w:t>.</w:t>
      </w:r>
      <w:r w:rsidRPr="00DE236E">
        <w:rPr>
          <w:sz w:val="22"/>
          <w:szCs w:val="22"/>
        </w:rPr>
        <w:t xml:space="preserve"> </w:t>
      </w:r>
      <w:r w:rsidR="00926949" w:rsidRPr="00DE236E">
        <w:rPr>
          <w:sz w:val="22"/>
          <w:szCs w:val="22"/>
        </w:rPr>
        <w:tab/>
        <w:t xml:space="preserve">Inherent in the legal definition of “possession” is the concept of knowing or conscious possession. See </w:t>
      </w:r>
      <w:r w:rsidR="00926949" w:rsidRPr="00DE236E">
        <w:rPr>
          <w:sz w:val="22"/>
          <w:szCs w:val="22"/>
          <w:u w:val="single"/>
        </w:rPr>
        <w:t>Schwartz v. State</w:t>
      </w:r>
      <w:r w:rsidR="00926949" w:rsidRPr="00DE236E">
        <w:rPr>
          <w:sz w:val="22"/>
          <w:szCs w:val="22"/>
        </w:rPr>
        <w:t xml:space="preserve">, 192 Wis. 414, 418, 212 N.W. 664 (1927); </w:t>
      </w:r>
      <w:r w:rsidR="00926949" w:rsidRPr="00DE236E">
        <w:rPr>
          <w:sz w:val="22"/>
          <w:szCs w:val="22"/>
          <w:u w:val="single"/>
        </w:rPr>
        <w:t>Doscher v. State</w:t>
      </w:r>
      <w:r w:rsidR="00926949" w:rsidRPr="00DE236E">
        <w:rPr>
          <w:sz w:val="22"/>
          <w:szCs w:val="22"/>
        </w:rPr>
        <w:t>, 194 Wis. 67, 69, 214 N.W. 359 (1927).</w:t>
      </w:r>
    </w:p>
    <w:p w14:paraId="3830BC51" w14:textId="77777777" w:rsidR="00926949" w:rsidRPr="00DE236E" w:rsidRDefault="00926949" w:rsidP="00926949">
      <w:pPr>
        <w:pStyle w:val="EndnoteText"/>
        <w:tabs>
          <w:tab w:val="left" w:pos="900"/>
        </w:tabs>
        <w:ind w:firstLine="450"/>
        <w:jc w:val="both"/>
      </w:pPr>
    </w:p>
  </w:endnote>
  <w:endnote w:id="3">
    <w:p w14:paraId="08479D3F" w14:textId="11D0521A" w:rsidR="003B31DB" w:rsidRPr="00DE236E" w:rsidRDefault="003B31DB" w:rsidP="00926949">
      <w:pPr>
        <w:pStyle w:val="NoSpacing"/>
        <w:tabs>
          <w:tab w:val="left" w:pos="900"/>
        </w:tabs>
        <w:ind w:firstLine="450"/>
        <w:jc w:val="both"/>
        <w:rPr>
          <w:rFonts w:ascii="Times New Roman" w:hAnsi="Times New Roman" w:cs="Times New Roman"/>
        </w:rPr>
      </w:pPr>
      <w:r w:rsidRPr="00DE236E">
        <w:rPr>
          <w:rFonts w:ascii="Times New Roman" w:hAnsi="Times New Roman" w:cs="Times New Roman"/>
        </w:rPr>
        <w:endnoteRef/>
      </w:r>
      <w:r w:rsidR="00926949" w:rsidRPr="00DE236E">
        <w:rPr>
          <w:rFonts w:ascii="Times New Roman" w:hAnsi="Times New Roman" w:cs="Times New Roman"/>
        </w:rPr>
        <w:t>.</w:t>
      </w:r>
      <w:r w:rsidRPr="00DE236E">
        <w:rPr>
          <w:rFonts w:ascii="Times New Roman" w:hAnsi="Times New Roman" w:cs="Times New Roman"/>
        </w:rPr>
        <w:t xml:space="preserve"> </w:t>
      </w:r>
      <w:r w:rsidR="00926949" w:rsidRPr="00DE236E">
        <w:rPr>
          <w:rFonts w:ascii="Times New Roman" w:hAnsi="Times New Roman" w:cs="Times New Roman"/>
        </w:rPr>
        <w:tab/>
        <w:t>The definition of “possess” is the one provided in Wis JI–Criminal 920.</w:t>
      </w:r>
      <w:r w:rsidR="008D59AB">
        <w:rPr>
          <w:rFonts w:ascii="Times New Roman" w:hAnsi="Times New Roman" w:cs="Times New Roman"/>
        </w:rPr>
        <w:t xml:space="preserve"> </w:t>
      </w:r>
      <w:r w:rsidR="00926949" w:rsidRPr="00DE236E">
        <w:rPr>
          <w:rFonts w:ascii="Times New Roman" w:hAnsi="Times New Roman" w:cs="Times New Roman"/>
        </w:rPr>
        <w:t>See the Comment to Wis JI–Criminal 920 for a discussion of various issues relating to “possession” in criminal cases, including so called constructive possession.</w:t>
      </w:r>
    </w:p>
    <w:p w14:paraId="1FD1B7A8" w14:textId="77777777" w:rsidR="00926949" w:rsidRPr="00DE236E" w:rsidRDefault="00926949" w:rsidP="00926949">
      <w:pPr>
        <w:pStyle w:val="NoSpacing"/>
        <w:tabs>
          <w:tab w:val="left" w:pos="900"/>
        </w:tabs>
        <w:ind w:firstLine="450"/>
        <w:jc w:val="both"/>
        <w:rPr>
          <w:rFonts w:ascii="Times New Roman" w:hAnsi="Times New Roman" w:cs="Times New Roman"/>
        </w:rPr>
      </w:pPr>
    </w:p>
  </w:endnote>
  <w:endnote w:id="4">
    <w:p w14:paraId="789A3A5B" w14:textId="074B9998" w:rsidR="00926949" w:rsidRPr="00DE236E" w:rsidRDefault="00926949" w:rsidP="00926949">
      <w:pPr>
        <w:pStyle w:val="NoSpacing"/>
        <w:tabs>
          <w:tab w:val="left" w:pos="900"/>
        </w:tabs>
        <w:ind w:firstLine="450"/>
        <w:jc w:val="both"/>
        <w:rPr>
          <w:rFonts w:ascii="Times New Roman" w:hAnsi="Times New Roman" w:cs="Times New Roman"/>
        </w:rPr>
      </w:pPr>
      <w:r w:rsidRPr="00DE236E">
        <w:rPr>
          <w:rFonts w:ascii="Times New Roman" w:hAnsi="Times New Roman" w:cs="Times New Roman"/>
        </w:rPr>
        <w:endnoteRef/>
      </w:r>
      <w:r w:rsidRPr="00DE236E">
        <w:rPr>
          <w:rFonts w:ascii="Times New Roman" w:hAnsi="Times New Roman" w:cs="Times New Roman"/>
        </w:rPr>
        <w:t xml:space="preserve">. </w:t>
      </w:r>
      <w:r w:rsidRPr="00DE236E">
        <w:rPr>
          <w:rFonts w:ascii="Times New Roman" w:hAnsi="Times New Roman" w:cs="Times New Roman"/>
        </w:rPr>
        <w:tab/>
        <w:t>The explanation of “improvised explosive device” is from the definition provided in § 941.31(2)(a). The statutory definition appears to require that the device have the three attributes emphasized in the instruction: that it be explosive, destructive, and improvised. The full statutory definition reads as follows:</w:t>
      </w:r>
    </w:p>
    <w:p w14:paraId="4FBDAA05" w14:textId="77777777" w:rsidR="00926949" w:rsidRPr="00DE236E" w:rsidRDefault="00926949" w:rsidP="00926949">
      <w:pPr>
        <w:pStyle w:val="NoSpacing"/>
        <w:jc w:val="both"/>
        <w:rPr>
          <w:rFonts w:ascii="Times New Roman" w:hAnsi="Times New Roman" w:cs="Times New Roman"/>
        </w:rPr>
      </w:pPr>
    </w:p>
    <w:p w14:paraId="23FB5B2F" w14:textId="20F9ED43" w:rsidR="00926949" w:rsidRPr="00DE236E" w:rsidRDefault="00926949" w:rsidP="00926949">
      <w:pPr>
        <w:pStyle w:val="NoSpacing"/>
        <w:ind w:left="450" w:right="450"/>
        <w:jc w:val="both"/>
        <w:rPr>
          <w:rFonts w:ascii="Times New Roman" w:hAnsi="Times New Roman" w:cs="Times New Roman"/>
        </w:rPr>
      </w:pPr>
      <w:r w:rsidRPr="00DE236E">
        <w:rPr>
          <w:rFonts w:ascii="Times New Roman" w:hAnsi="Times New Roman" w:cs="Times New Roman"/>
        </w:rPr>
        <w:t>“Improvised explosive device” means a destructive explosive device capable of causing bodily harm, great bodily harm, death or property damage; with some type of explosive material and a means of detonating the explosive material, directly, remotely, or with a timer either present or readily capable of being inserted or attached; which may include a pipe or similar casing, with the ends of the pipe or casing capped, plugged or crimped, and a fuse or similar object sticking out of the pipe or casing; and made by a person not engaged in the legitimate manufacture or legitimate use of explosives, or otherwise authorized by law to do so. “Improvised explosive device” does not include ammunition for any rifle, pistol or shotgun.</w:t>
      </w:r>
    </w:p>
    <w:p w14:paraId="2F0FED38" w14:textId="110C5AEF" w:rsidR="00FC060F" w:rsidRPr="00DE236E" w:rsidRDefault="00FC060F" w:rsidP="00FC060F">
      <w:pPr>
        <w:pStyle w:val="NoSpacing"/>
        <w:ind w:right="450"/>
        <w:jc w:val="both"/>
        <w:rPr>
          <w:rFonts w:ascii="Times New Roman" w:hAnsi="Times New Roman" w:cs="Times New Roman"/>
        </w:rPr>
      </w:pPr>
    </w:p>
    <w:p w14:paraId="22093148" w14:textId="173D5C16" w:rsidR="00FC060F" w:rsidRPr="00DE236E" w:rsidRDefault="00FC060F" w:rsidP="00FC060F">
      <w:pPr>
        <w:pStyle w:val="NoSpacing"/>
        <w:ind w:right="450" w:firstLine="450"/>
        <w:jc w:val="both"/>
        <w:rPr>
          <w:rFonts w:ascii="Times New Roman" w:hAnsi="Times New Roman" w:cs="Times New Roman"/>
        </w:rPr>
      </w:pPr>
      <w:r w:rsidRPr="00DE236E">
        <w:rPr>
          <w:rFonts w:ascii="Times New Roman" w:hAnsi="Times New Roman" w:cs="Times New Roman"/>
        </w:rPr>
        <w:t xml:space="preserve">In </w:t>
      </w:r>
      <w:r w:rsidRPr="00DE236E">
        <w:rPr>
          <w:rFonts w:ascii="Times New Roman" w:hAnsi="Times New Roman" w:cs="Times New Roman"/>
          <w:u w:val="single"/>
        </w:rPr>
        <w:t>State v. Strong</w:t>
      </w:r>
      <w:r w:rsidRPr="00DE236E">
        <w:rPr>
          <w:rFonts w:ascii="Times New Roman" w:hAnsi="Times New Roman" w:cs="Times New Roman"/>
        </w:rPr>
        <w:t>, 2011 WI App 43, 332 Wis. 2d 554, 796 N.W.2d 438, the court of appeals construed this definition for purposes of Element 2. The court held that a device qualifies as an “improvised explosive device” even though it lacks a functioning detonator, so long as a means of detonation can be readily inserted or attached, and that “explosive material” may be given its ordinary dictionary meaning—applying that meaning, the court held that methyl ethyl ketone (acetone) qualifies as an explosive material under § 941.31(2)(a).</w:t>
      </w:r>
    </w:p>
    <w:p w14:paraId="6150A89F" w14:textId="77777777" w:rsidR="00926949" w:rsidRPr="00DE236E" w:rsidRDefault="00926949" w:rsidP="00926949">
      <w:pPr>
        <w:pStyle w:val="NoSpacing"/>
        <w:ind w:left="450" w:right="450"/>
        <w:jc w:val="both"/>
      </w:pPr>
    </w:p>
  </w:endnote>
  <w:endnote w:id="5">
    <w:p w14:paraId="64055705" w14:textId="6D0DC4BB" w:rsidR="00926949" w:rsidRPr="00DE236E" w:rsidRDefault="00926949" w:rsidP="00926949">
      <w:pPr>
        <w:pStyle w:val="EndnoteText"/>
        <w:tabs>
          <w:tab w:val="left" w:pos="900"/>
        </w:tabs>
        <w:ind w:firstLine="450"/>
        <w:jc w:val="both"/>
        <w:rPr>
          <w:sz w:val="22"/>
          <w:szCs w:val="22"/>
        </w:rPr>
      </w:pPr>
      <w:r w:rsidRPr="00DE236E">
        <w:rPr>
          <w:sz w:val="22"/>
          <w:szCs w:val="22"/>
        </w:rPr>
        <w:endnoteRef/>
      </w:r>
      <w:r w:rsidRPr="00DE236E">
        <w:rPr>
          <w:sz w:val="22"/>
          <w:szCs w:val="22"/>
        </w:rPr>
        <w:t xml:space="preserve">. </w:t>
      </w:r>
      <w:r w:rsidR="00E23D57" w:rsidRPr="00DE236E">
        <w:rPr>
          <w:sz w:val="22"/>
          <w:szCs w:val="22"/>
        </w:rPr>
        <w:tab/>
      </w:r>
      <w:r w:rsidRPr="00DE236E">
        <w:rPr>
          <w:sz w:val="22"/>
          <w:szCs w:val="22"/>
        </w:rPr>
        <w:t xml:space="preserve">In </w:t>
      </w:r>
      <w:r w:rsidRPr="00DE236E">
        <w:rPr>
          <w:sz w:val="22"/>
          <w:szCs w:val="22"/>
          <w:u w:val="single"/>
        </w:rPr>
        <w:t>State v. Brulport</w:t>
      </w:r>
      <w:r w:rsidRPr="00DE236E">
        <w:rPr>
          <w:sz w:val="22"/>
          <w:szCs w:val="22"/>
        </w:rPr>
        <w:t>, 202 Wis.</w:t>
      </w:r>
      <w:r w:rsidR="009E3BFE">
        <w:rPr>
          <w:sz w:val="22"/>
          <w:szCs w:val="22"/>
        </w:rPr>
        <w:t xml:space="preserve"> </w:t>
      </w:r>
      <w:r w:rsidRPr="00DE236E">
        <w:rPr>
          <w:sz w:val="22"/>
          <w:szCs w:val="22"/>
        </w:rPr>
        <w:t>2d 50</w:t>
      </w:r>
      <w:r w:rsidR="009E3BFE">
        <w:rPr>
          <w:sz w:val="22"/>
          <w:szCs w:val="22"/>
        </w:rPr>
        <w:t>5</w:t>
      </w:r>
      <w:r w:rsidRPr="00DE236E">
        <w:rPr>
          <w:sz w:val="22"/>
          <w:szCs w:val="22"/>
        </w:rPr>
        <w:t>,</w:t>
      </w:r>
      <w:r w:rsidR="009E3BFE">
        <w:rPr>
          <w:sz w:val="22"/>
          <w:szCs w:val="22"/>
        </w:rPr>
        <w:t xml:space="preserve"> </w:t>
      </w:r>
      <w:r w:rsidRPr="00DE236E">
        <w:rPr>
          <w:sz w:val="22"/>
          <w:szCs w:val="22"/>
        </w:rPr>
        <w:t>551 N.W.2d 824 (Ct. App. 1996), the court approved the use of Wisconsin Administrative Code definitions of “explosive compound” and “explosion” in a case involving a violation of § 941.31(1):</w:t>
      </w:r>
    </w:p>
    <w:p w14:paraId="3BE852A1" w14:textId="77777777" w:rsidR="00926949" w:rsidRPr="00DE236E" w:rsidRDefault="00926949" w:rsidP="00926949">
      <w:pPr>
        <w:pStyle w:val="EndnoteText"/>
        <w:jc w:val="both"/>
        <w:rPr>
          <w:sz w:val="22"/>
          <w:szCs w:val="22"/>
        </w:rPr>
      </w:pPr>
    </w:p>
    <w:p w14:paraId="5AB6AEF9" w14:textId="1B00A027" w:rsidR="00926949" w:rsidRPr="00DE236E" w:rsidRDefault="00E23D57" w:rsidP="00E23D57">
      <w:pPr>
        <w:pStyle w:val="EndnoteText"/>
        <w:ind w:left="450" w:right="450"/>
        <w:jc w:val="both"/>
        <w:rPr>
          <w:sz w:val="22"/>
          <w:szCs w:val="22"/>
        </w:rPr>
      </w:pPr>
      <w:r w:rsidRPr="00DE236E">
        <w:rPr>
          <w:sz w:val="22"/>
          <w:szCs w:val="22"/>
        </w:rPr>
        <w:t>“</w:t>
      </w:r>
      <w:r w:rsidR="00926949" w:rsidRPr="00DE236E">
        <w:rPr>
          <w:sz w:val="22"/>
          <w:szCs w:val="22"/>
        </w:rPr>
        <w:t>Explosive compound</w:t>
      </w:r>
      <w:r w:rsidRPr="00DE236E">
        <w:rPr>
          <w:sz w:val="22"/>
          <w:szCs w:val="22"/>
        </w:rPr>
        <w:t>”</w:t>
      </w:r>
      <w:r w:rsidR="00926949" w:rsidRPr="00DE236E">
        <w:rPr>
          <w:sz w:val="22"/>
          <w:szCs w:val="22"/>
        </w:rPr>
        <w:t xml:space="preserve"> means any chemical compound, mixture or device, the primary o</w:t>
      </w:r>
      <w:r w:rsidR="0014104D">
        <w:rPr>
          <w:sz w:val="22"/>
          <w:szCs w:val="22"/>
        </w:rPr>
        <w:t xml:space="preserve">r </w:t>
      </w:r>
      <w:r w:rsidR="00926949" w:rsidRPr="00DE236E">
        <w:rPr>
          <w:sz w:val="22"/>
          <w:szCs w:val="22"/>
        </w:rPr>
        <w:t>common purpose of which is to function by explosion. [§ ILHR 7.04(18)</w:t>
      </w:r>
      <w:r w:rsidR="00066E6B" w:rsidRPr="00DE236E">
        <w:rPr>
          <w:sz w:val="22"/>
          <w:szCs w:val="22"/>
        </w:rPr>
        <w:t xml:space="preserve"> now § SPS 307.20(12)</w:t>
      </w:r>
      <w:r w:rsidR="00926949" w:rsidRPr="00DE236E">
        <w:rPr>
          <w:sz w:val="22"/>
          <w:szCs w:val="22"/>
        </w:rPr>
        <w:t>]</w:t>
      </w:r>
    </w:p>
    <w:p w14:paraId="2D63610C" w14:textId="77777777" w:rsidR="00926949" w:rsidRPr="00DE236E" w:rsidRDefault="00926949" w:rsidP="00E23D57">
      <w:pPr>
        <w:pStyle w:val="EndnoteText"/>
        <w:ind w:left="450" w:right="450"/>
        <w:jc w:val="both"/>
        <w:rPr>
          <w:sz w:val="22"/>
          <w:szCs w:val="22"/>
        </w:rPr>
      </w:pPr>
    </w:p>
    <w:p w14:paraId="588ED3FD" w14:textId="3ABCCBB4" w:rsidR="00926949" w:rsidRPr="00DE236E" w:rsidRDefault="00E23D57" w:rsidP="00E23D57">
      <w:pPr>
        <w:pStyle w:val="EndnoteText"/>
        <w:ind w:left="450" w:right="450"/>
        <w:jc w:val="both"/>
        <w:rPr>
          <w:sz w:val="22"/>
          <w:szCs w:val="22"/>
        </w:rPr>
      </w:pPr>
      <w:r w:rsidRPr="00DE236E">
        <w:rPr>
          <w:sz w:val="22"/>
          <w:szCs w:val="22"/>
        </w:rPr>
        <w:t>“</w:t>
      </w:r>
      <w:r w:rsidR="00926949" w:rsidRPr="00DE236E">
        <w:rPr>
          <w:sz w:val="22"/>
          <w:szCs w:val="22"/>
        </w:rPr>
        <w:t>Explosion</w:t>
      </w:r>
      <w:r w:rsidRPr="00DE236E">
        <w:rPr>
          <w:sz w:val="22"/>
          <w:szCs w:val="22"/>
        </w:rPr>
        <w:t>”</w:t>
      </w:r>
      <w:r w:rsidR="00926949" w:rsidRPr="00DE236E">
        <w:rPr>
          <w:sz w:val="22"/>
          <w:szCs w:val="22"/>
        </w:rPr>
        <w:t xml:space="preserve"> means the substantially instantaneous release of both gas and heat.</w:t>
      </w:r>
      <w:r w:rsidRPr="00DE236E">
        <w:rPr>
          <w:sz w:val="22"/>
          <w:szCs w:val="22"/>
        </w:rPr>
        <w:t xml:space="preserve"> </w:t>
      </w:r>
      <w:r w:rsidR="00926949" w:rsidRPr="00DE236E">
        <w:rPr>
          <w:sz w:val="22"/>
          <w:szCs w:val="22"/>
        </w:rPr>
        <w:t>[§</w:t>
      </w:r>
      <w:r w:rsidRPr="00DE236E">
        <w:rPr>
          <w:sz w:val="22"/>
          <w:szCs w:val="22"/>
        </w:rPr>
        <w:t xml:space="preserve"> </w:t>
      </w:r>
      <w:r w:rsidR="00926949" w:rsidRPr="00DE236E">
        <w:rPr>
          <w:sz w:val="22"/>
          <w:szCs w:val="22"/>
        </w:rPr>
        <w:t>ILHR 7.04(18)]</w:t>
      </w:r>
    </w:p>
    <w:p w14:paraId="7A676773" w14:textId="77777777" w:rsidR="00926949" w:rsidRPr="00DE236E" w:rsidRDefault="00926949" w:rsidP="00926949">
      <w:pPr>
        <w:pStyle w:val="EndnoteText"/>
        <w:jc w:val="both"/>
        <w:rPr>
          <w:sz w:val="22"/>
          <w:szCs w:val="22"/>
        </w:rPr>
      </w:pPr>
    </w:p>
    <w:p w14:paraId="3CBB1C26" w14:textId="58E77C4D" w:rsidR="00926949" w:rsidRPr="00DE236E" w:rsidRDefault="00926949" w:rsidP="00E23D57">
      <w:pPr>
        <w:pStyle w:val="EndnoteText"/>
        <w:ind w:firstLine="450"/>
        <w:jc w:val="both"/>
        <w:rPr>
          <w:sz w:val="22"/>
          <w:szCs w:val="22"/>
        </w:rPr>
      </w:pPr>
      <w:r w:rsidRPr="00DE236E">
        <w:rPr>
          <w:sz w:val="22"/>
          <w:szCs w:val="22"/>
          <w:u w:val="single"/>
        </w:rPr>
        <w:t>Brulport</w:t>
      </w:r>
      <w:r w:rsidRPr="00DE236E">
        <w:rPr>
          <w:sz w:val="22"/>
          <w:szCs w:val="22"/>
        </w:rPr>
        <w:t xml:space="preserve"> held that a plastic soda bottle containing aluminum foil and drain cleaner qualified as an </w:t>
      </w:r>
      <w:r w:rsidR="00E23D57" w:rsidRPr="00DE236E">
        <w:rPr>
          <w:sz w:val="22"/>
          <w:szCs w:val="22"/>
        </w:rPr>
        <w:t>“</w:t>
      </w:r>
      <w:r w:rsidRPr="00DE236E">
        <w:rPr>
          <w:sz w:val="22"/>
          <w:szCs w:val="22"/>
        </w:rPr>
        <w:t>explosive compound</w:t>
      </w:r>
      <w:r w:rsidR="00E23D57" w:rsidRPr="00DE236E">
        <w:rPr>
          <w:sz w:val="22"/>
          <w:szCs w:val="22"/>
        </w:rPr>
        <w:t>”</w:t>
      </w:r>
      <w:r w:rsidRPr="00DE236E">
        <w:rPr>
          <w:sz w:val="22"/>
          <w:szCs w:val="22"/>
        </w:rPr>
        <w:t xml:space="preserve"> under § 941.31.  See footnote 5, Wis JI</w:t>
      </w:r>
      <w:r w:rsidR="00E23D57" w:rsidRPr="00DE236E">
        <w:rPr>
          <w:sz w:val="22"/>
          <w:szCs w:val="22"/>
        </w:rPr>
        <w:t>–</w:t>
      </w:r>
      <w:r w:rsidRPr="00DE236E">
        <w:rPr>
          <w:sz w:val="22"/>
          <w:szCs w:val="22"/>
        </w:rPr>
        <w:t>Criminal 1350.</w:t>
      </w:r>
    </w:p>
    <w:p w14:paraId="43988996" w14:textId="4DE323BF" w:rsidR="00066E6B" w:rsidRPr="00DE236E" w:rsidRDefault="00066E6B" w:rsidP="00E23D57">
      <w:pPr>
        <w:pStyle w:val="EndnoteText"/>
        <w:ind w:firstLine="450"/>
        <w:jc w:val="both"/>
        <w:rPr>
          <w:sz w:val="22"/>
          <w:szCs w:val="22"/>
        </w:rPr>
      </w:pPr>
    </w:p>
    <w:p w14:paraId="1DDF3194" w14:textId="5B8128D7" w:rsidR="00066E6B" w:rsidRPr="00DE236E" w:rsidRDefault="00066E6B" w:rsidP="00066E6B">
      <w:pPr>
        <w:widowControl/>
        <w:tabs>
          <w:tab w:val="left" w:pos="900"/>
        </w:tabs>
        <w:autoSpaceDE/>
        <w:autoSpaceDN/>
        <w:adjustRightInd/>
        <w:ind w:firstLine="450"/>
        <w:jc w:val="both"/>
        <w:rPr>
          <w:rFonts w:eastAsiaTheme="minorHAnsi"/>
          <w:sz w:val="22"/>
          <w:szCs w:val="22"/>
        </w:rPr>
      </w:pPr>
      <w:r w:rsidRPr="00DE236E">
        <w:rPr>
          <w:rFonts w:eastAsiaTheme="minorHAnsi"/>
          <w:b/>
          <w:bCs/>
          <w:sz w:val="22"/>
          <w:szCs w:val="22"/>
        </w:rPr>
        <w:t>Note on administrative code</w:t>
      </w:r>
      <w:r w:rsidRPr="00DE236E">
        <w:rPr>
          <w:rFonts w:eastAsiaTheme="minorHAnsi"/>
          <w:sz w:val="22"/>
          <w:szCs w:val="22"/>
        </w:rPr>
        <w:t xml:space="preserve">: Chapter ILHR 7 was renumbered ch. Comm 7 in 1996, recreated effective March 1, 2008 (Register February 2008 No. 626), and subsequently renumbered ch. SPS 307 in December 2011. The definition of “Explosive” now appears at Wis. Admin. Code § SPS 307.20(12), and retains substantially the same language approved in </w:t>
      </w:r>
      <w:r w:rsidRPr="00DE236E">
        <w:rPr>
          <w:rFonts w:eastAsiaTheme="minorHAnsi"/>
          <w:sz w:val="22"/>
          <w:szCs w:val="22"/>
          <w:u w:val="single"/>
        </w:rPr>
        <w:t>Brulport</w:t>
      </w:r>
      <w:r w:rsidRPr="00DE236E">
        <w:rPr>
          <w:rFonts w:eastAsiaTheme="minorHAnsi"/>
          <w:sz w:val="22"/>
          <w:szCs w:val="22"/>
        </w:rPr>
        <w:t xml:space="preserve">. The administrative code no longer contains a separate stand-alone definition of “explosion.” The </w:t>
      </w:r>
      <w:r w:rsidRPr="00DE236E">
        <w:rPr>
          <w:rFonts w:eastAsiaTheme="minorHAnsi"/>
          <w:sz w:val="22"/>
          <w:szCs w:val="22"/>
          <w:u w:val="single"/>
        </w:rPr>
        <w:t>Brulport</w:t>
      </w:r>
      <w:r w:rsidRPr="00DE236E">
        <w:rPr>
          <w:rFonts w:eastAsiaTheme="minorHAnsi"/>
          <w:sz w:val="22"/>
          <w:szCs w:val="22"/>
        </w:rPr>
        <w:t xml:space="preserve"> standard — substantially instantaneous release of both gas and heat — remains controlling as a matter of case law. See also </w:t>
      </w:r>
      <w:r w:rsidRPr="00DE236E">
        <w:rPr>
          <w:rFonts w:eastAsiaTheme="minorHAnsi"/>
          <w:sz w:val="22"/>
          <w:szCs w:val="22"/>
          <w:u w:val="single"/>
        </w:rPr>
        <w:t>State v. Strong</w:t>
      </w:r>
      <w:r w:rsidRPr="00DE236E">
        <w:rPr>
          <w:rFonts w:eastAsiaTheme="minorHAnsi"/>
          <w:sz w:val="22"/>
          <w:szCs w:val="22"/>
        </w:rPr>
        <w:t>, 2011 WI App 43, 332 Wis. 2d 554, 796 N.W.2d 438 (applying related definitional principles under § 941.31(2)(a) and confirming that a device need not have a functioning detonator to qualify as an explosive, so long as the means of detonation can be readily inserted or attached).</w:t>
      </w:r>
    </w:p>
    <w:p w14:paraId="00A9340A" w14:textId="77777777" w:rsidR="00E23D57" w:rsidRPr="00DE236E" w:rsidRDefault="00E23D57" w:rsidP="00E23D57">
      <w:pPr>
        <w:pStyle w:val="EndnoteText"/>
        <w:ind w:firstLine="450"/>
        <w:jc w:val="both"/>
      </w:pPr>
    </w:p>
  </w:endnote>
  <w:endnote w:id="6">
    <w:p w14:paraId="24229D87" w14:textId="7F9A93D8" w:rsidR="00926949" w:rsidRPr="00DE236E" w:rsidRDefault="00926949" w:rsidP="00E23D57">
      <w:pPr>
        <w:pStyle w:val="EndnoteText"/>
        <w:tabs>
          <w:tab w:val="left" w:pos="900"/>
        </w:tabs>
        <w:ind w:firstLine="450"/>
        <w:jc w:val="both"/>
        <w:rPr>
          <w:sz w:val="22"/>
          <w:szCs w:val="22"/>
        </w:rPr>
      </w:pPr>
      <w:r w:rsidRPr="00DE236E">
        <w:rPr>
          <w:sz w:val="22"/>
          <w:szCs w:val="22"/>
        </w:rPr>
        <w:endnoteRef/>
      </w:r>
      <w:r w:rsidR="00E23D57" w:rsidRPr="00DE236E">
        <w:rPr>
          <w:sz w:val="22"/>
          <w:szCs w:val="22"/>
        </w:rPr>
        <w:t>.</w:t>
      </w:r>
      <w:r w:rsidRPr="00DE236E">
        <w:rPr>
          <w:sz w:val="22"/>
          <w:szCs w:val="22"/>
        </w:rPr>
        <w:t xml:space="preserve"> </w:t>
      </w:r>
      <w:r w:rsidR="00E23D57" w:rsidRPr="00DE236E">
        <w:rPr>
          <w:sz w:val="22"/>
          <w:szCs w:val="22"/>
        </w:rPr>
        <w:tab/>
        <w:t>The phrase in parentheses is based on the definition found in § 941.31(2)(a).</w:t>
      </w:r>
      <w:r w:rsidR="00344AAB">
        <w:rPr>
          <w:sz w:val="22"/>
          <w:szCs w:val="22"/>
        </w:rPr>
        <w:t xml:space="preserve"> </w:t>
      </w:r>
      <w:r w:rsidR="00E23D57" w:rsidRPr="00DE236E">
        <w:rPr>
          <w:sz w:val="22"/>
          <w:szCs w:val="22"/>
        </w:rPr>
        <w:t xml:space="preserve">See note </w:t>
      </w:r>
      <w:r w:rsidR="009E3BFE">
        <w:rPr>
          <w:sz w:val="22"/>
          <w:szCs w:val="22"/>
        </w:rPr>
        <w:t>4</w:t>
      </w:r>
      <w:r w:rsidR="00E23D57" w:rsidRPr="00DE236E">
        <w:rPr>
          <w:sz w:val="22"/>
          <w:szCs w:val="22"/>
        </w:rPr>
        <w:t xml:space="preserve">, </w:t>
      </w:r>
      <w:r w:rsidR="00E23D57" w:rsidRPr="00DE236E">
        <w:rPr>
          <w:sz w:val="22"/>
          <w:szCs w:val="22"/>
          <w:u w:val="single"/>
        </w:rPr>
        <w:t>supra</w:t>
      </w:r>
      <w:r w:rsidR="00E23D57" w:rsidRPr="00DE236E">
        <w:rPr>
          <w:sz w:val="22"/>
          <w:szCs w:val="22"/>
        </w:rPr>
        <w:t>.</w:t>
      </w:r>
    </w:p>
    <w:p w14:paraId="353D4EAE" w14:textId="77777777" w:rsidR="00E23D57" w:rsidRPr="00DE236E" w:rsidRDefault="00E23D57" w:rsidP="00E23D57">
      <w:pPr>
        <w:pStyle w:val="EndnoteText"/>
        <w:tabs>
          <w:tab w:val="left" w:pos="900"/>
        </w:tabs>
        <w:ind w:firstLine="450"/>
        <w:jc w:val="both"/>
        <w:rPr>
          <w:sz w:val="22"/>
          <w:szCs w:val="22"/>
        </w:rPr>
      </w:pPr>
    </w:p>
  </w:endnote>
  <w:endnote w:id="7">
    <w:p w14:paraId="4ABFC2B7" w14:textId="4205DFBC" w:rsidR="00926949" w:rsidRPr="00E23D57" w:rsidRDefault="00926949" w:rsidP="00E23D57">
      <w:pPr>
        <w:pStyle w:val="NoSpacing"/>
        <w:tabs>
          <w:tab w:val="left" w:pos="900"/>
        </w:tabs>
        <w:ind w:firstLine="450"/>
        <w:jc w:val="both"/>
        <w:rPr>
          <w:rFonts w:ascii="Times New Roman" w:hAnsi="Times New Roman" w:cs="Times New Roman"/>
        </w:rPr>
      </w:pPr>
      <w:r w:rsidRPr="00DE236E">
        <w:rPr>
          <w:rFonts w:ascii="Times New Roman" w:hAnsi="Times New Roman" w:cs="Times New Roman"/>
        </w:rPr>
        <w:endnoteRef/>
      </w:r>
      <w:r w:rsidR="00E23D57" w:rsidRPr="00DE236E">
        <w:rPr>
          <w:rFonts w:ascii="Times New Roman" w:hAnsi="Times New Roman" w:cs="Times New Roman"/>
        </w:rPr>
        <w:t>.</w:t>
      </w:r>
      <w:r w:rsidR="00E23D57" w:rsidRPr="00DE236E">
        <w:rPr>
          <w:rFonts w:ascii="Times New Roman" w:hAnsi="Times New Roman" w:cs="Times New Roman"/>
        </w:rPr>
        <w:tab/>
        <w:t xml:space="preserve">See § 941.31(2)(a), </w:t>
      </w:r>
      <w:r w:rsidR="002471DF">
        <w:rPr>
          <w:rFonts w:ascii="Times New Roman" w:hAnsi="Times New Roman" w:cs="Times New Roman"/>
        </w:rPr>
        <w:t xml:space="preserve">and </w:t>
      </w:r>
      <w:r w:rsidR="00E23D57" w:rsidRPr="00DE236E">
        <w:rPr>
          <w:rFonts w:ascii="Times New Roman" w:hAnsi="Times New Roman" w:cs="Times New Roman"/>
        </w:rPr>
        <w:t xml:space="preserve">note 4, </w:t>
      </w:r>
      <w:r w:rsidR="00E23D57" w:rsidRPr="00DE236E">
        <w:rPr>
          <w:rFonts w:ascii="Times New Roman" w:hAnsi="Times New Roman" w:cs="Times New Roman"/>
          <w:u w:val="single"/>
        </w:rPr>
        <w:t>supra</w:t>
      </w:r>
      <w:r w:rsidR="00E23D57" w:rsidRPr="00DE236E">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1312" w14:textId="77777777" w:rsidR="003B31DB" w:rsidRDefault="003B31DB" w:rsidP="003B31DB">
    <w:pPr>
      <w:pStyle w:val="Footer"/>
      <w:jc w:val="both"/>
      <w:rPr>
        <w:rFonts w:ascii="Arial" w:hAnsi="Arial" w:cs="Arial"/>
        <w:sz w:val="20"/>
        <w:szCs w:val="20"/>
      </w:rPr>
    </w:pPr>
  </w:p>
  <w:p w14:paraId="33F5CACA" w14:textId="12F15B1E" w:rsidR="003B31DB" w:rsidRPr="003B31DB" w:rsidRDefault="003B31DB" w:rsidP="003B31DB">
    <w:pPr>
      <w:pStyle w:val="Footer"/>
      <w:jc w:val="both"/>
      <w:rPr>
        <w:rFonts w:ascii="Arial" w:hAnsi="Arial" w:cs="Arial"/>
        <w:sz w:val="20"/>
        <w:szCs w:val="20"/>
      </w:rPr>
    </w:pPr>
    <w:r w:rsidRPr="003B31DB">
      <w:rPr>
        <w:rFonts w:ascii="Arial" w:hAnsi="Arial" w:cs="Arial"/>
        <w:sz w:val="20"/>
        <w:szCs w:val="20"/>
      </w:rPr>
      <w:t xml:space="preserve">Wisconsin Court System, </w:t>
    </w:r>
    <w:r w:rsidR="00DE236E">
      <w:rPr>
        <w:rFonts w:ascii="Arial" w:hAnsi="Arial" w:cs="Arial"/>
        <w:sz w:val="20"/>
        <w:szCs w:val="20"/>
      </w:rPr>
      <w:t>7</w:t>
    </w:r>
    <w:r w:rsidRPr="003B31DB">
      <w:rPr>
        <w:rFonts w:ascii="Arial" w:hAnsi="Arial" w:cs="Arial"/>
        <w:sz w:val="20"/>
        <w:szCs w:val="20"/>
      </w:rPr>
      <w:t>/2026</w:t>
    </w:r>
    <w:r w:rsidRPr="003B31DB">
      <w:rPr>
        <w:rFonts w:ascii="Arial" w:hAnsi="Arial" w:cs="Arial"/>
        <w:sz w:val="20"/>
        <w:szCs w:val="20"/>
      </w:rPr>
      <w:tab/>
    </w:r>
    <w:r w:rsidRPr="003B31DB">
      <w:rPr>
        <w:rFonts w:ascii="Arial" w:hAnsi="Arial" w:cs="Arial"/>
        <w:sz w:val="20"/>
        <w:szCs w:val="20"/>
      </w:rPr>
      <w:tab/>
      <w:t>(</w:t>
    </w:r>
    <w:r w:rsidR="00DE236E">
      <w:rPr>
        <w:rFonts w:ascii="Arial" w:hAnsi="Arial" w:cs="Arial"/>
        <w:sz w:val="20"/>
        <w:szCs w:val="20"/>
      </w:rPr>
      <w:t>Release No. 71</w:t>
    </w:r>
    <w:r w:rsidRPr="003B31DB">
      <w:rPr>
        <w:rFonts w:ascii="Arial" w:hAnsi="Arial" w:cs="Arial"/>
        <w:sz w:val="20"/>
        <w:szCs w:val="20"/>
      </w:rPr>
      <w:t>)</w:t>
    </w:r>
  </w:p>
  <w:sdt>
    <w:sdtPr>
      <w:rPr>
        <w:rFonts w:ascii="Arial" w:hAnsi="Arial" w:cs="Arial"/>
        <w:sz w:val="20"/>
        <w:szCs w:val="20"/>
      </w:rPr>
      <w:id w:val="747543725"/>
      <w:docPartObj>
        <w:docPartGallery w:val="Page Numbers (Bottom of Page)"/>
        <w:docPartUnique/>
      </w:docPartObj>
    </w:sdtPr>
    <w:sdtEndPr>
      <w:rPr>
        <w:noProof/>
      </w:rPr>
    </w:sdtEndPr>
    <w:sdtContent>
      <w:p w14:paraId="2CC4AA32" w14:textId="0A13C83F" w:rsidR="003B31DB" w:rsidRPr="003B31DB" w:rsidRDefault="003B31DB">
        <w:pPr>
          <w:pStyle w:val="Footer"/>
          <w:jc w:val="center"/>
          <w:rPr>
            <w:rFonts w:ascii="Arial" w:hAnsi="Arial" w:cs="Arial"/>
            <w:sz w:val="20"/>
            <w:szCs w:val="20"/>
          </w:rPr>
        </w:pPr>
        <w:r w:rsidRPr="003B31DB">
          <w:rPr>
            <w:rFonts w:ascii="Arial" w:hAnsi="Arial" w:cs="Arial"/>
            <w:sz w:val="20"/>
            <w:szCs w:val="20"/>
          </w:rPr>
          <w:fldChar w:fldCharType="begin"/>
        </w:r>
        <w:r w:rsidRPr="003B31DB">
          <w:rPr>
            <w:rFonts w:ascii="Arial" w:hAnsi="Arial" w:cs="Arial"/>
            <w:sz w:val="20"/>
            <w:szCs w:val="20"/>
          </w:rPr>
          <w:instrText xml:space="preserve"> PAGE   \* MERGEFORMAT </w:instrText>
        </w:r>
        <w:r w:rsidRPr="003B31DB">
          <w:rPr>
            <w:rFonts w:ascii="Arial" w:hAnsi="Arial" w:cs="Arial"/>
            <w:sz w:val="20"/>
            <w:szCs w:val="20"/>
          </w:rPr>
          <w:fldChar w:fldCharType="separate"/>
        </w:r>
        <w:r w:rsidRPr="003B31DB">
          <w:rPr>
            <w:rFonts w:ascii="Arial" w:hAnsi="Arial" w:cs="Arial"/>
            <w:noProof/>
            <w:sz w:val="20"/>
            <w:szCs w:val="20"/>
          </w:rPr>
          <w:t>2</w:t>
        </w:r>
        <w:r w:rsidRPr="003B31DB">
          <w:rPr>
            <w:rFonts w:ascii="Arial" w:hAnsi="Arial" w:cs="Arial"/>
            <w:noProof/>
            <w:sz w:val="20"/>
            <w:szCs w:val="20"/>
          </w:rPr>
          <w:fldChar w:fldCharType="end"/>
        </w:r>
      </w:p>
    </w:sdtContent>
  </w:sdt>
  <w:p w14:paraId="42688B2D" w14:textId="77777777" w:rsidR="003B31DB" w:rsidRDefault="003B3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F7DEA" w14:textId="77777777" w:rsidR="003B31DB" w:rsidRDefault="003B31DB" w:rsidP="003B31DB">
      <w:r>
        <w:separator/>
      </w:r>
    </w:p>
  </w:footnote>
  <w:footnote w:type="continuationSeparator" w:id="0">
    <w:p w14:paraId="6F35DF3C" w14:textId="77777777" w:rsidR="003B31DB" w:rsidRDefault="003B31DB" w:rsidP="003B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6A3BF" w14:textId="77777777" w:rsidR="00DE236E" w:rsidRDefault="00DE236E" w:rsidP="003B31DB">
    <w:pPr>
      <w:tabs>
        <w:tab w:val="center" w:pos="4680"/>
        <w:tab w:val="right" w:pos="9360"/>
      </w:tabs>
      <w:jc w:val="both"/>
      <w:rPr>
        <w:rFonts w:ascii="Arial" w:hAnsi="Arial" w:cs="Arial"/>
        <w:b/>
        <w:bCs/>
        <w:sz w:val="28"/>
        <w:szCs w:val="28"/>
      </w:rPr>
    </w:pPr>
  </w:p>
  <w:p w14:paraId="22851D9F" w14:textId="35838734" w:rsidR="003B31DB" w:rsidRDefault="003B31DB" w:rsidP="003B31DB">
    <w:pPr>
      <w:tabs>
        <w:tab w:val="center" w:pos="4680"/>
        <w:tab w:val="right" w:pos="9360"/>
      </w:tabs>
      <w:jc w:val="both"/>
      <w:rPr>
        <w:rFonts w:ascii="Arial" w:hAnsi="Arial" w:cs="Arial"/>
        <w:b/>
        <w:bCs/>
        <w:sz w:val="28"/>
        <w:szCs w:val="28"/>
      </w:rPr>
    </w:pPr>
    <w:r w:rsidRPr="003B31DB">
      <w:rPr>
        <w:rFonts w:ascii="Arial" w:hAnsi="Arial" w:cs="Arial"/>
        <w:b/>
        <w:bCs/>
        <w:sz w:val="28"/>
        <w:szCs w:val="28"/>
      </w:rPr>
      <w:t>1351A</w:t>
    </w:r>
    <w:r w:rsidRPr="003B31DB">
      <w:rPr>
        <w:rFonts w:ascii="Arial" w:hAnsi="Arial" w:cs="Arial"/>
        <w:b/>
        <w:bCs/>
        <w:sz w:val="28"/>
        <w:szCs w:val="28"/>
      </w:rPr>
      <w:tab/>
      <w:t>WIS JI</w:t>
    </w:r>
    <w:r w:rsidRPr="003B31DB">
      <w:rPr>
        <w:rFonts w:ascii="Arial" w:hAnsi="Arial" w:cs="Arial"/>
        <w:b/>
        <w:bCs/>
        <w:sz w:val="28"/>
        <w:szCs w:val="28"/>
      </w:rPr>
      <w:noBreakHyphen/>
      <w:t>CRIMINAL</w:t>
    </w:r>
    <w:r w:rsidRPr="003B31DB">
      <w:rPr>
        <w:rFonts w:ascii="Arial" w:hAnsi="Arial" w:cs="Arial"/>
        <w:b/>
        <w:bCs/>
        <w:sz w:val="28"/>
        <w:szCs w:val="28"/>
      </w:rPr>
      <w:tab/>
      <w:t>1351A</w:t>
    </w:r>
  </w:p>
  <w:p w14:paraId="5C13881D" w14:textId="7459B32C" w:rsidR="003B31DB" w:rsidRDefault="003B31DB" w:rsidP="003B31DB">
    <w:pPr>
      <w:tabs>
        <w:tab w:val="center" w:pos="4680"/>
        <w:tab w:val="right" w:pos="9360"/>
      </w:tabs>
      <w:jc w:val="both"/>
      <w:rPr>
        <w:rFonts w:ascii="Arial" w:hAnsi="Arial" w:cs="Arial"/>
        <w:b/>
        <w:bCs/>
        <w:sz w:val="28"/>
        <w:szCs w:val="28"/>
      </w:rPr>
    </w:pPr>
  </w:p>
  <w:p w14:paraId="303B9BBE" w14:textId="77777777" w:rsidR="003B31DB" w:rsidRPr="003B31DB" w:rsidRDefault="003B31DB" w:rsidP="003B31DB">
    <w:pPr>
      <w:tabs>
        <w:tab w:val="center" w:pos="4680"/>
        <w:tab w:val="right" w:pos="9360"/>
      </w:tabs>
      <w:jc w:val="both"/>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C78CA"/>
    <w:multiLevelType w:val="hybridMultilevel"/>
    <w:tmpl w:val="60C4B35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DB"/>
    <w:rsid w:val="00066E6B"/>
    <w:rsid w:val="0014104D"/>
    <w:rsid w:val="002471DF"/>
    <w:rsid w:val="00344AAB"/>
    <w:rsid w:val="003B31DB"/>
    <w:rsid w:val="00610D46"/>
    <w:rsid w:val="006241F0"/>
    <w:rsid w:val="007B184C"/>
    <w:rsid w:val="008B7D4B"/>
    <w:rsid w:val="008D59AB"/>
    <w:rsid w:val="00926949"/>
    <w:rsid w:val="009E3BFE"/>
    <w:rsid w:val="00A97596"/>
    <w:rsid w:val="00AB21E7"/>
    <w:rsid w:val="00B01420"/>
    <w:rsid w:val="00C052B1"/>
    <w:rsid w:val="00DE236E"/>
    <w:rsid w:val="00E23D57"/>
    <w:rsid w:val="00FC0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6ABB"/>
  <w15:chartTrackingRefBased/>
  <w15:docId w15:val="{79A5D406-DFE3-49FE-94AA-CDF1DD52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1DB"/>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B31DB"/>
  </w:style>
  <w:style w:type="paragraph" w:styleId="Footer">
    <w:name w:val="footer"/>
    <w:basedOn w:val="Normal"/>
    <w:link w:val="FooterChar"/>
    <w:uiPriority w:val="99"/>
    <w:unhideWhenUsed/>
    <w:rsid w:val="003B31DB"/>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B31DB"/>
  </w:style>
  <w:style w:type="paragraph" w:styleId="NoSpacing">
    <w:name w:val="No Spacing"/>
    <w:uiPriority w:val="1"/>
    <w:qFormat/>
    <w:rsid w:val="003B31DB"/>
    <w:pPr>
      <w:spacing w:after="0" w:line="240" w:lineRule="auto"/>
    </w:pPr>
  </w:style>
  <w:style w:type="character" w:styleId="LineNumber">
    <w:name w:val="line number"/>
    <w:basedOn w:val="DefaultParagraphFont"/>
    <w:uiPriority w:val="99"/>
    <w:semiHidden/>
    <w:unhideWhenUsed/>
    <w:rsid w:val="003B31DB"/>
  </w:style>
  <w:style w:type="character" w:styleId="FootnoteReference">
    <w:name w:val="footnote reference"/>
    <w:uiPriority w:val="99"/>
    <w:rsid w:val="003B31DB"/>
  </w:style>
  <w:style w:type="paragraph" w:styleId="EndnoteText">
    <w:name w:val="endnote text"/>
    <w:basedOn w:val="Normal"/>
    <w:link w:val="EndnoteTextChar"/>
    <w:uiPriority w:val="99"/>
    <w:semiHidden/>
    <w:unhideWhenUsed/>
    <w:rsid w:val="003B31DB"/>
    <w:rPr>
      <w:sz w:val="20"/>
      <w:szCs w:val="20"/>
    </w:rPr>
  </w:style>
  <w:style w:type="character" w:customStyle="1" w:styleId="EndnoteTextChar">
    <w:name w:val="Endnote Text Char"/>
    <w:basedOn w:val="DefaultParagraphFont"/>
    <w:link w:val="EndnoteText"/>
    <w:uiPriority w:val="99"/>
    <w:semiHidden/>
    <w:rsid w:val="003B31D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B31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CFF57-1E1D-43C5-911E-020120B21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9</cp:revision>
  <dcterms:created xsi:type="dcterms:W3CDTF">2026-07-13T15:46:00Z</dcterms:created>
  <dcterms:modified xsi:type="dcterms:W3CDTF">2026-07-13T16:09:00Z</dcterms:modified>
</cp:coreProperties>
</file>