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5C199" w14:textId="77777777" w:rsidR="000030C1" w:rsidRPr="000030C1" w:rsidRDefault="000030C1" w:rsidP="000030C1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30C1">
        <w:rPr>
          <w:rFonts w:ascii="Times New Roman" w:hAnsi="Times New Roman" w:cs="Times New Roman"/>
          <w:b/>
          <w:bCs/>
          <w:sz w:val="26"/>
          <w:szCs w:val="26"/>
        </w:rPr>
        <w:t>1375</w:t>
      </w:r>
      <w:r w:rsidRPr="000030C1">
        <w:rPr>
          <w:rFonts w:ascii="Times New Roman" w:hAnsi="Times New Roman" w:cs="Times New Roman"/>
          <w:b/>
          <w:bCs/>
          <w:sz w:val="26"/>
          <w:szCs w:val="26"/>
        </w:rPr>
        <w:tab/>
        <w:t>VIOLATING A NO CONTACT ORDER — § 941.39</w:t>
      </w:r>
    </w:p>
    <w:p w14:paraId="7260E82A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55162168" w14:textId="77777777" w:rsidR="000030C1" w:rsidRDefault="000030C1" w:rsidP="000030C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0AB78E72" w14:textId="28014DE5" w:rsidR="000030C1" w:rsidRPr="000030C1" w:rsidRDefault="000030C1" w:rsidP="000030C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030C1">
        <w:rPr>
          <w:rFonts w:ascii="Times New Roman" w:hAnsi="Times New Roman" w:cs="Times New Roman"/>
          <w:b/>
          <w:bCs/>
          <w:sz w:val="26"/>
          <w:szCs w:val="26"/>
        </w:rPr>
        <w:t>Statutory Definition of the Crime</w:t>
      </w:r>
    </w:p>
    <w:p w14:paraId="3EE05034" w14:textId="77777777" w:rsidR="000030C1" w:rsidRPr="000030C1" w:rsidRDefault="000030C1" w:rsidP="000030C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Violating a no contact order, as defined in § 941.39 of the Wisconsin Statutes, is committed by one who intentionally violates a court order issued under § 973.049(2) of the Wisconsin Statutes.</w:t>
      </w:r>
    </w:p>
    <w:p w14:paraId="3E71BBD9" w14:textId="40EAE79B" w:rsidR="000030C1" w:rsidRPr="000030C1" w:rsidRDefault="000030C1" w:rsidP="000030C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030C1">
        <w:rPr>
          <w:rFonts w:ascii="Times New Roman" w:hAnsi="Times New Roman" w:cs="Times New Roman"/>
          <w:b/>
          <w:bCs/>
          <w:sz w:val="26"/>
          <w:szCs w:val="26"/>
        </w:rPr>
        <w:t>State’s Burden of Proof</w:t>
      </w:r>
    </w:p>
    <w:p w14:paraId="2C404F52" w14:textId="77777777" w:rsidR="000030C1" w:rsidRPr="000030C1" w:rsidRDefault="000030C1" w:rsidP="000030C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Before you may find the defendant guilty of this offense, the State must prove by evidence which satisfies you beyond a reasonable doubt that the following three elements were present.</w:t>
      </w:r>
    </w:p>
    <w:p w14:paraId="3A2FCE50" w14:textId="3EAAF13C" w:rsidR="000030C1" w:rsidRPr="000030C1" w:rsidRDefault="000030C1" w:rsidP="000030C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030C1">
        <w:rPr>
          <w:rFonts w:ascii="Times New Roman" w:hAnsi="Times New Roman" w:cs="Times New Roman"/>
          <w:b/>
          <w:bCs/>
          <w:sz w:val="26"/>
          <w:szCs w:val="26"/>
        </w:rPr>
        <w:t>Elements of the Crime That the State Must Prove</w:t>
      </w:r>
    </w:p>
    <w:p w14:paraId="570A9E84" w14:textId="77777777" w:rsidR="000030C1" w:rsidRPr="000030C1" w:rsidRDefault="000030C1" w:rsidP="000030C1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1.</w:t>
      </w:r>
      <w:r w:rsidRPr="000030C1">
        <w:rPr>
          <w:rFonts w:ascii="Times New Roman" w:hAnsi="Times New Roman" w:cs="Times New Roman"/>
          <w:sz w:val="26"/>
          <w:szCs w:val="26"/>
        </w:rPr>
        <w:tab/>
        <w:t>A no contact order was issued under § 973.049(2) of the Wisconsin Statutes as a result of a conviction for a (felony) (misdemeanor).</w:t>
      </w:r>
    </w:p>
    <w:p w14:paraId="4D70046B" w14:textId="18F84134" w:rsidR="000030C1" w:rsidRPr="000030C1" w:rsidRDefault="000030C1" w:rsidP="000030C1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(A felony is a crime punishable by imprisonment in the Wisconsin state prisons.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1"/>
      </w:r>
      <w:r w:rsidRPr="000030C1">
        <w:rPr>
          <w:rFonts w:ascii="Times New Roman" w:hAnsi="Times New Roman" w:cs="Times New Roman"/>
          <w:sz w:val="26"/>
          <w:szCs w:val="26"/>
        </w:rPr>
        <w:t xml:space="preserve"> </w:t>
      </w:r>
      <w:r w:rsidRPr="000030C1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</w:t>
      </w:r>
      <w:r w:rsidRPr="000030C1">
        <w:rPr>
          <w:rFonts w:ascii="Times New Roman" w:hAnsi="Times New Roman" w:cs="Times New Roman"/>
          <w:sz w:val="26"/>
          <w:szCs w:val="26"/>
        </w:rPr>
        <w:t xml:space="preserve"> is a felony.)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2"/>
      </w:r>
      <w:r w:rsidRPr="000030C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666E3C" w14:textId="6A937A3C" w:rsidR="000030C1" w:rsidRPr="000030C1" w:rsidRDefault="000030C1" w:rsidP="000030C1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(A misdemeanor is a crime punishable by imprisonment in the county jail.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3"/>
      </w:r>
      <w:r w:rsidRPr="000030C1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0030C1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</w:t>
      </w:r>
      <w:r w:rsidRPr="000030C1">
        <w:rPr>
          <w:rFonts w:ascii="Times New Roman" w:hAnsi="Times New Roman" w:cs="Times New Roman"/>
          <w:sz w:val="26"/>
          <w:szCs w:val="26"/>
        </w:rPr>
        <w:t>_______________ is a misdemeanor.)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4"/>
      </w:r>
      <w:r w:rsidRPr="000030C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D9FED2E" w14:textId="77777777" w:rsidR="000030C1" w:rsidRPr="000030C1" w:rsidRDefault="000030C1" w:rsidP="000030C1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2.</w:t>
      </w:r>
      <w:r w:rsidRPr="000030C1">
        <w:rPr>
          <w:rFonts w:ascii="Times New Roman" w:hAnsi="Times New Roman" w:cs="Times New Roman"/>
          <w:sz w:val="26"/>
          <w:szCs w:val="26"/>
        </w:rPr>
        <w:tab/>
        <w:t>The defendant committed an act that violated the no contact order.</w:t>
      </w:r>
    </w:p>
    <w:p w14:paraId="3B5AE171" w14:textId="77777777" w:rsidR="000030C1" w:rsidRPr="000030C1" w:rsidRDefault="000030C1" w:rsidP="000030C1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3.</w:t>
      </w:r>
      <w:r w:rsidRPr="000030C1">
        <w:rPr>
          <w:rFonts w:ascii="Times New Roman" w:hAnsi="Times New Roman" w:cs="Times New Roman"/>
          <w:sz w:val="26"/>
          <w:szCs w:val="26"/>
        </w:rPr>
        <w:tab/>
        <w:t>The defendant intentionally violated the no contact order.</w:t>
      </w:r>
    </w:p>
    <w:p w14:paraId="28877CD3" w14:textId="279C57CF" w:rsidR="000030C1" w:rsidRPr="000030C1" w:rsidRDefault="000030C1" w:rsidP="000030C1">
      <w:pPr>
        <w:pStyle w:val="NoSpacing"/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This requires that the defendant knew that the no contact order had been issued and knew that (his) (her) acts violated the order.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5"/>
      </w:r>
      <w:r w:rsidRPr="000030C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CC7D25" w14:textId="6E51B4D8" w:rsidR="000030C1" w:rsidRPr="000030C1" w:rsidRDefault="000030C1" w:rsidP="000030C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030C1">
        <w:rPr>
          <w:rFonts w:ascii="Times New Roman" w:hAnsi="Times New Roman" w:cs="Times New Roman"/>
          <w:b/>
          <w:bCs/>
          <w:sz w:val="26"/>
          <w:szCs w:val="26"/>
        </w:rPr>
        <w:lastRenderedPageBreak/>
        <w:t>Deciding About Knowledge</w:t>
      </w:r>
    </w:p>
    <w:p w14:paraId="6FE9F41E" w14:textId="3F25C2A2" w:rsidR="000030C1" w:rsidRPr="000030C1" w:rsidRDefault="000030C1" w:rsidP="000030C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You cannot look into a person</w:t>
      </w:r>
      <w:r>
        <w:rPr>
          <w:rFonts w:ascii="Times New Roman" w:hAnsi="Times New Roman" w:cs="Times New Roman"/>
          <w:sz w:val="26"/>
          <w:szCs w:val="26"/>
        </w:rPr>
        <w:t>’</w:t>
      </w:r>
      <w:r w:rsidRPr="000030C1">
        <w:rPr>
          <w:rFonts w:ascii="Times New Roman" w:hAnsi="Times New Roman" w:cs="Times New Roman"/>
          <w:sz w:val="26"/>
          <w:szCs w:val="26"/>
        </w:rPr>
        <w:t>s mind to find knowledge. Knowledge must be found, if found at all, from the defendant</w:t>
      </w:r>
      <w:r>
        <w:rPr>
          <w:rFonts w:ascii="Times New Roman" w:hAnsi="Times New Roman" w:cs="Times New Roman"/>
          <w:sz w:val="26"/>
          <w:szCs w:val="26"/>
        </w:rPr>
        <w:t>’</w:t>
      </w:r>
      <w:r w:rsidRPr="000030C1">
        <w:rPr>
          <w:rFonts w:ascii="Times New Roman" w:hAnsi="Times New Roman" w:cs="Times New Roman"/>
          <w:sz w:val="26"/>
          <w:szCs w:val="26"/>
        </w:rPr>
        <w:t>s acts, words, and statements, if any, and from all the facts and circumstances in this case bearing upon knowledge.</w:t>
      </w:r>
    </w:p>
    <w:p w14:paraId="7D471084" w14:textId="76053CC6" w:rsidR="000030C1" w:rsidRPr="000030C1" w:rsidRDefault="000030C1" w:rsidP="000030C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030C1">
        <w:rPr>
          <w:rFonts w:ascii="Times New Roman" w:hAnsi="Times New Roman" w:cs="Times New Roman"/>
          <w:b/>
          <w:bCs/>
          <w:sz w:val="26"/>
          <w:szCs w:val="26"/>
        </w:rPr>
        <w:t>Jury’s Decision</w:t>
      </w:r>
    </w:p>
    <w:p w14:paraId="2A518E44" w14:textId="77777777" w:rsidR="000030C1" w:rsidRPr="000030C1" w:rsidRDefault="000030C1" w:rsidP="000030C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If you are satisfied beyond a reasonable doubt that all three elements of this offense have been proved, you should find the defendant guilty.</w:t>
      </w:r>
    </w:p>
    <w:p w14:paraId="15CB995A" w14:textId="77777777" w:rsidR="000030C1" w:rsidRPr="000030C1" w:rsidRDefault="000030C1" w:rsidP="000030C1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0030C1">
        <w:rPr>
          <w:rFonts w:ascii="Times New Roman" w:hAnsi="Times New Roman" w:cs="Times New Roman"/>
          <w:sz w:val="26"/>
          <w:szCs w:val="26"/>
        </w:rPr>
        <w:t>If you are not so satisfied, you must find the defendant not guilty.</w:t>
      </w:r>
    </w:p>
    <w:p w14:paraId="3EC6D295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6C898381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7286E2D9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3BB989C1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57E692BE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0030C1">
        <w:rPr>
          <w:rFonts w:ascii="Times New Roman" w:hAnsi="Times New Roman" w:cs="Times New Roman"/>
          <w:b/>
          <w:bCs/>
        </w:rPr>
        <w:t>COMMENT</w:t>
      </w:r>
    </w:p>
    <w:p w14:paraId="439876DD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4B14CF15" w14:textId="7CBC9F50" w:rsidR="000030C1" w:rsidRPr="000030C1" w:rsidRDefault="000030C1" w:rsidP="000030C1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t>Wis JI</w:t>
      </w:r>
      <w:r>
        <w:rPr>
          <w:rFonts w:ascii="Times New Roman" w:hAnsi="Times New Roman" w:cs="Times New Roman"/>
        </w:rPr>
        <w:t>–</w:t>
      </w:r>
      <w:r w:rsidRPr="000030C1">
        <w:rPr>
          <w:rFonts w:ascii="Times New Roman" w:hAnsi="Times New Roman" w:cs="Times New Roman"/>
        </w:rPr>
        <w:t xml:space="preserve">Criminal 1375 was originally published in 2007 and revised in 2013. This revision was approved by the Committee in June 2026. It amended the comment. </w:t>
      </w:r>
    </w:p>
    <w:p w14:paraId="78592773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6FD57030" w14:textId="5E2C8E02" w:rsidR="00047EA4" w:rsidRPr="000030C1" w:rsidRDefault="00047EA4" w:rsidP="000030C1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047EA4">
        <w:rPr>
          <w:rFonts w:ascii="Times New Roman" w:hAnsi="Times New Roman" w:cs="Times New Roman"/>
        </w:rPr>
        <w:t>This instruction is for violations of § 941.39, titled “Victim, witness, juror, or co-actor contact.” Section 941.39 was created by 2005 Wisconsin Act 32 and took effect on August 30, 2005.</w:t>
      </w:r>
    </w:p>
    <w:p w14:paraId="5B38F73D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3371CA02" w14:textId="060DAD80" w:rsidR="000030C1" w:rsidRPr="000030C1" w:rsidRDefault="000030C1" w:rsidP="000030C1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t>2011 Wisconsin Act 267 amended § 941.39 to change the penalty [effective date: April 24, 2012]. The penalty is a Class A misdemeanor if the order resulted from a conviction for a misdemeanor; the penalty is a Class H felony if the order resulted from a conviction for a felony. The Committee concluded that because the nature of the conviction on which the order is based determines the penalty range, it is a fact that must be submitted to the jury. The penalty structure is like that for bail jumping under § 946.49; see Wis JI–Criminal 1975.</w:t>
      </w:r>
    </w:p>
    <w:p w14:paraId="2F5F8951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7F23B30D" w14:textId="5FA83D26" w:rsidR="000030C1" w:rsidRPr="000030C1" w:rsidRDefault="000030C1" w:rsidP="000030C1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t xml:space="preserve">The offense is defined as violating a no contact order issued under § 973.049(2), which provides that a sentencing court </w:t>
      </w:r>
      <w:r>
        <w:rPr>
          <w:rFonts w:ascii="Times New Roman" w:hAnsi="Times New Roman" w:cs="Times New Roman"/>
        </w:rPr>
        <w:t>“</w:t>
      </w:r>
      <w:r w:rsidRPr="000030C1">
        <w:rPr>
          <w:rFonts w:ascii="Times New Roman" w:hAnsi="Times New Roman" w:cs="Times New Roman"/>
        </w:rPr>
        <w:t>may</w:t>
      </w:r>
      <w:r>
        <w:rPr>
          <w:rFonts w:ascii="Times New Roman" w:hAnsi="Times New Roman" w:cs="Times New Roman"/>
        </w:rPr>
        <w:t>”</w:t>
      </w:r>
      <w:r w:rsidRPr="000030C1">
        <w:rPr>
          <w:rFonts w:ascii="Times New Roman" w:hAnsi="Times New Roman" w:cs="Times New Roman"/>
        </w:rPr>
        <w:t xml:space="preserve"> prohibit an individual who is being sentenced or placed on probation </w:t>
      </w:r>
      <w:r>
        <w:rPr>
          <w:rFonts w:ascii="Times New Roman" w:hAnsi="Times New Roman" w:cs="Times New Roman"/>
        </w:rPr>
        <w:t>“</w:t>
      </w:r>
      <w:r w:rsidRPr="000030C1">
        <w:rPr>
          <w:rFonts w:ascii="Times New Roman" w:hAnsi="Times New Roman" w:cs="Times New Roman"/>
        </w:rPr>
        <w:t>from contacting victims of, witnesses to, jurors who served at any proceeding relating to, or co-actors in, a crime considered at sentencing during any part of the individual</w:t>
      </w:r>
      <w:r>
        <w:rPr>
          <w:rFonts w:ascii="Times New Roman" w:hAnsi="Times New Roman" w:cs="Times New Roman"/>
        </w:rPr>
        <w:t>’</w:t>
      </w:r>
      <w:r w:rsidRPr="000030C1">
        <w:rPr>
          <w:rFonts w:ascii="Times New Roman" w:hAnsi="Times New Roman" w:cs="Times New Roman"/>
        </w:rPr>
        <w:t>s sentence or period of probation if the court determines that the prohibition would be in the interest of public protection.</w:t>
      </w:r>
      <w:r>
        <w:rPr>
          <w:rFonts w:ascii="Times New Roman" w:hAnsi="Times New Roman" w:cs="Times New Roman"/>
        </w:rPr>
        <w:t>”</w:t>
      </w:r>
    </w:p>
    <w:p w14:paraId="1798F6A2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623A5088" w14:textId="2AED670D" w:rsidR="000030C1" w:rsidRPr="000030C1" w:rsidRDefault="000030C1" w:rsidP="000030C1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t xml:space="preserve">Subsection (3) of § 973.049, as amended by 2011 Wisconsin Act 267, provides: </w:t>
      </w:r>
      <w:r>
        <w:rPr>
          <w:rFonts w:ascii="Times New Roman" w:hAnsi="Times New Roman" w:cs="Times New Roman"/>
        </w:rPr>
        <w:t>“</w:t>
      </w:r>
      <w:r w:rsidRPr="000030C1">
        <w:rPr>
          <w:rFonts w:ascii="Times New Roman" w:hAnsi="Times New Roman" w:cs="Times New Roman"/>
        </w:rPr>
        <w:t xml:space="preserve">If a court issues an order under sub. (2), the court shall inform the individual of the prohibition and include the prohibition in </w:t>
      </w:r>
      <w:r w:rsidRPr="000030C1">
        <w:rPr>
          <w:rFonts w:ascii="Times New Roman" w:hAnsi="Times New Roman" w:cs="Times New Roman"/>
        </w:rPr>
        <w:lastRenderedPageBreak/>
        <w:t>the judgment of conviction for the crime.</w:t>
      </w:r>
      <w:r>
        <w:rPr>
          <w:rFonts w:ascii="Times New Roman" w:hAnsi="Times New Roman" w:cs="Times New Roman"/>
        </w:rPr>
        <w:t xml:space="preserve">” </w:t>
      </w:r>
      <w:r w:rsidRPr="000030C1">
        <w:rPr>
          <w:rFonts w:ascii="Times New Roman" w:hAnsi="Times New Roman" w:cs="Times New Roman"/>
        </w:rPr>
        <w:t>The Committee concluded that whether or not this requirement was met is not relevant in a prosecution for violating § 941.39.</w:t>
      </w:r>
    </w:p>
    <w:p w14:paraId="72306DA2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4C5B089C" w14:textId="46EAE633" w:rsidR="00066496" w:rsidRPr="000030C1" w:rsidRDefault="000030C1" w:rsidP="000030C1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t>2025 Wisconsin Act 26 amended § 973.049(2) by adding “witnesses to” and “jurors who served at any proceeding relating to” a crime considered at sentencing to the categories of persons whom a sentencing court may protect through a no contact order. The Act also amended the title of § 941.39 to read “Victim, witness, juror, or co-actor contact.” Together, these changes expanded both the class of persons whom a court may protect under § 973.049(2) and the class of no contact orders whose violation may be prosecuted under § 941.39. The statute now covers witnesses and jurors who served in the proceeding, in addition to victims and co-actors.</w:t>
      </w:r>
    </w:p>
    <w:sectPr w:rsidR="00066496" w:rsidRPr="000030C1">
      <w:headerReference w:type="default" r:id="rId7"/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09F7D" w14:textId="77777777" w:rsidR="000030C1" w:rsidRDefault="000030C1" w:rsidP="000030C1">
      <w:pPr>
        <w:spacing w:after="0" w:line="240" w:lineRule="auto"/>
      </w:pPr>
      <w:r>
        <w:separator/>
      </w:r>
    </w:p>
  </w:endnote>
  <w:endnote w:type="continuationSeparator" w:id="0">
    <w:p w14:paraId="7D1CFBF9" w14:textId="77777777" w:rsidR="000030C1" w:rsidRDefault="000030C1" w:rsidP="000030C1">
      <w:pPr>
        <w:spacing w:after="0" w:line="240" w:lineRule="auto"/>
      </w:pPr>
      <w:r>
        <w:continuationSeparator/>
      </w:r>
    </w:p>
  </w:endnote>
  <w:endnote w:id="1">
    <w:p w14:paraId="71368103" w14:textId="13611E20" w:rsidR="000030C1" w:rsidRDefault="000030C1" w:rsidP="00027878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endnoteRef/>
      </w:r>
      <w:r w:rsidRPr="000030C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0030C1">
        <w:rPr>
          <w:rFonts w:ascii="Times New Roman" w:hAnsi="Times New Roman" w:cs="Times New Roman"/>
        </w:rPr>
        <w:t>See § 939.60.</w:t>
      </w:r>
    </w:p>
    <w:p w14:paraId="62569F56" w14:textId="77777777" w:rsidR="000030C1" w:rsidRP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</w:endnote>
  <w:endnote w:id="2">
    <w:p w14:paraId="06EA20B1" w14:textId="598C52F4" w:rsidR="000030C1" w:rsidRDefault="000030C1" w:rsidP="000030C1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endnoteRef/>
      </w:r>
      <w:r w:rsidRPr="000030C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0030C1">
        <w:rPr>
          <w:rFonts w:ascii="Times New Roman" w:hAnsi="Times New Roman" w:cs="Times New Roman"/>
        </w:rPr>
        <w:t>In the Committee</w:t>
      </w:r>
      <w:r>
        <w:rPr>
          <w:rFonts w:ascii="Times New Roman" w:hAnsi="Times New Roman" w:cs="Times New Roman"/>
        </w:rPr>
        <w:t>’</w:t>
      </w:r>
      <w:r w:rsidRPr="000030C1">
        <w:rPr>
          <w:rFonts w:ascii="Times New Roman" w:hAnsi="Times New Roman" w:cs="Times New Roman"/>
        </w:rPr>
        <w:t>s judgment, the jury may be told that a certain crime is in fact a felony or a misdemeanor. The jury must find that the defendant was actually convicted of that crime.</w:t>
      </w:r>
    </w:p>
    <w:p w14:paraId="77575046" w14:textId="77777777" w:rsidR="000030C1" w:rsidRPr="000030C1" w:rsidRDefault="000030C1" w:rsidP="000030C1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</w:p>
  </w:endnote>
  <w:endnote w:id="3">
    <w:p w14:paraId="3FC9C948" w14:textId="644CDD8C" w:rsidR="000030C1" w:rsidRPr="000030C1" w:rsidRDefault="000030C1" w:rsidP="000030C1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endnoteRef/>
      </w:r>
      <w:r w:rsidRPr="000030C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0030C1">
        <w:rPr>
          <w:rFonts w:ascii="Times New Roman" w:hAnsi="Times New Roman" w:cs="Times New Roman"/>
        </w:rPr>
        <w:t>See §§ 939.60 and 939.12.</w:t>
      </w:r>
      <w:r>
        <w:rPr>
          <w:rFonts w:ascii="Times New Roman" w:hAnsi="Times New Roman" w:cs="Times New Roman"/>
        </w:rPr>
        <w:t xml:space="preserve"> “</w:t>
      </w:r>
      <w:r w:rsidRPr="000030C1">
        <w:rPr>
          <w:rFonts w:ascii="Times New Roman" w:hAnsi="Times New Roman" w:cs="Times New Roman"/>
        </w:rPr>
        <w:t>County jail</w:t>
      </w:r>
      <w:r>
        <w:rPr>
          <w:rFonts w:ascii="Times New Roman" w:hAnsi="Times New Roman" w:cs="Times New Roman"/>
        </w:rPr>
        <w:t>”</w:t>
      </w:r>
      <w:r w:rsidRPr="000030C1">
        <w:rPr>
          <w:rFonts w:ascii="Times New Roman" w:hAnsi="Times New Roman" w:cs="Times New Roman"/>
        </w:rPr>
        <w:t xml:space="preserve"> includes the Milwaukee County House of Correction.</w:t>
      </w:r>
    </w:p>
  </w:endnote>
  <w:endnote w:id="4">
    <w:p w14:paraId="5EDF2886" w14:textId="77777777" w:rsid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36C52E22" w14:textId="6B76BF3E" w:rsidR="000030C1" w:rsidRPr="000030C1" w:rsidRDefault="000030C1" w:rsidP="000030C1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0030C1">
        <w:rPr>
          <w:rFonts w:ascii="Times New Roman" w:hAnsi="Times New Roman" w:cs="Times New Roman"/>
        </w:rPr>
        <w:endnoteRef/>
      </w:r>
      <w:r w:rsidRPr="000030C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0030C1">
        <w:rPr>
          <w:rFonts w:ascii="Times New Roman" w:hAnsi="Times New Roman" w:cs="Times New Roman"/>
        </w:rPr>
        <w:t xml:space="preserve">See note 2, </w:t>
      </w:r>
      <w:r w:rsidRPr="000030C1">
        <w:rPr>
          <w:rFonts w:ascii="Times New Roman" w:hAnsi="Times New Roman" w:cs="Times New Roman"/>
          <w:u w:val="single"/>
        </w:rPr>
        <w:t>supra</w:t>
      </w:r>
      <w:r w:rsidRPr="000030C1">
        <w:rPr>
          <w:rFonts w:ascii="Times New Roman" w:hAnsi="Times New Roman" w:cs="Times New Roman"/>
        </w:rPr>
        <w:t>.</w:t>
      </w:r>
    </w:p>
  </w:endnote>
  <w:endnote w:id="5">
    <w:p w14:paraId="485DC54A" w14:textId="77777777" w:rsidR="000030C1" w:rsidRDefault="000030C1" w:rsidP="000030C1">
      <w:pPr>
        <w:pStyle w:val="NoSpacing"/>
        <w:jc w:val="both"/>
        <w:rPr>
          <w:rFonts w:ascii="Times New Roman" w:hAnsi="Times New Roman" w:cs="Times New Roman"/>
        </w:rPr>
      </w:pPr>
    </w:p>
    <w:p w14:paraId="33E15DCB" w14:textId="77346CE3" w:rsidR="000030C1" w:rsidRDefault="000030C1" w:rsidP="00027878">
      <w:pPr>
        <w:pStyle w:val="NoSpacing"/>
        <w:tabs>
          <w:tab w:val="left" w:pos="900"/>
        </w:tabs>
        <w:ind w:firstLine="450"/>
        <w:jc w:val="both"/>
      </w:pPr>
      <w:r w:rsidRPr="000030C1">
        <w:rPr>
          <w:rFonts w:ascii="Times New Roman" w:hAnsi="Times New Roman" w:cs="Times New Roman"/>
        </w:rPr>
        <w:endnoteRef/>
      </w:r>
      <w:r w:rsidRPr="000030C1">
        <w:rPr>
          <w:rFonts w:ascii="Times New Roman" w:hAnsi="Times New Roman" w:cs="Times New Roman"/>
        </w:rPr>
        <w:t xml:space="preserve">. </w:t>
      </w:r>
      <w:r w:rsidR="00027878">
        <w:rPr>
          <w:rFonts w:ascii="Times New Roman" w:hAnsi="Times New Roman" w:cs="Times New Roman"/>
        </w:rPr>
        <w:tab/>
      </w:r>
      <w:r w:rsidRPr="000030C1">
        <w:rPr>
          <w:rFonts w:ascii="Times New Roman" w:hAnsi="Times New Roman" w:cs="Times New Roman"/>
        </w:rPr>
        <w:t xml:space="preserve">The basis for the knowledge requirement in the third element is the provision in § 939.23(3) which states that when the word </w:t>
      </w:r>
      <w:r>
        <w:rPr>
          <w:rFonts w:ascii="Times New Roman" w:hAnsi="Times New Roman" w:cs="Times New Roman"/>
        </w:rPr>
        <w:t>“</w:t>
      </w:r>
      <w:r w:rsidRPr="000030C1">
        <w:rPr>
          <w:rFonts w:ascii="Times New Roman" w:hAnsi="Times New Roman" w:cs="Times New Roman"/>
        </w:rPr>
        <w:t>intentionally</w:t>
      </w:r>
      <w:r>
        <w:rPr>
          <w:rFonts w:ascii="Times New Roman" w:hAnsi="Times New Roman" w:cs="Times New Roman"/>
        </w:rPr>
        <w:t>”</w:t>
      </w:r>
      <w:r w:rsidRPr="000030C1">
        <w:rPr>
          <w:rFonts w:ascii="Times New Roman" w:hAnsi="Times New Roman" w:cs="Times New Roman"/>
        </w:rPr>
        <w:t xml:space="preserve"> is used in a criminal statute, it requires </w:t>
      </w:r>
      <w:r>
        <w:rPr>
          <w:rFonts w:ascii="Times New Roman" w:hAnsi="Times New Roman" w:cs="Times New Roman"/>
        </w:rPr>
        <w:t>“</w:t>
      </w:r>
      <w:r w:rsidRPr="000030C1">
        <w:rPr>
          <w:rFonts w:ascii="Times New Roman" w:hAnsi="Times New Roman" w:cs="Times New Roman"/>
        </w:rPr>
        <w:t xml:space="preserve">knowledge of those facts which are necessary to make his or her conduct criminal and which are set forth after the word </w:t>
      </w:r>
      <w:r>
        <w:rPr>
          <w:rFonts w:ascii="Times New Roman" w:hAnsi="Times New Roman" w:cs="Times New Roman"/>
        </w:rPr>
        <w:t>‘</w:t>
      </w:r>
      <w:r w:rsidRPr="000030C1">
        <w:rPr>
          <w:rFonts w:ascii="Times New Roman" w:hAnsi="Times New Roman" w:cs="Times New Roman"/>
        </w:rPr>
        <w:t>intentionally</w:t>
      </w:r>
      <w:r>
        <w:rPr>
          <w:rFonts w:ascii="Times New Roman" w:hAnsi="Times New Roman" w:cs="Times New Roman"/>
        </w:rPr>
        <w:t>’</w:t>
      </w:r>
      <w:r w:rsidRPr="000030C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A11E6" w14:textId="77777777" w:rsidR="000030C1" w:rsidRDefault="000030C1" w:rsidP="000030C1">
    <w:pPr>
      <w:pStyle w:val="Footer"/>
      <w:jc w:val="both"/>
      <w:rPr>
        <w:rFonts w:ascii="Arial" w:hAnsi="Arial" w:cs="Arial"/>
        <w:sz w:val="20"/>
        <w:szCs w:val="20"/>
      </w:rPr>
    </w:pPr>
  </w:p>
  <w:p w14:paraId="41048806" w14:textId="60D877D5" w:rsidR="000030C1" w:rsidRPr="000030C1" w:rsidRDefault="000030C1" w:rsidP="000030C1">
    <w:pPr>
      <w:pStyle w:val="Footer"/>
      <w:jc w:val="both"/>
      <w:rPr>
        <w:rFonts w:ascii="Arial" w:hAnsi="Arial" w:cs="Arial"/>
        <w:sz w:val="20"/>
        <w:szCs w:val="20"/>
      </w:rPr>
    </w:pPr>
    <w:r w:rsidRPr="000030C1">
      <w:rPr>
        <w:rFonts w:ascii="Arial" w:hAnsi="Arial" w:cs="Arial"/>
        <w:sz w:val="20"/>
        <w:szCs w:val="20"/>
      </w:rPr>
      <w:t>Wisconsin Court System, 7/2026</w:t>
    </w:r>
    <w:r w:rsidRPr="000030C1">
      <w:rPr>
        <w:rFonts w:ascii="Arial" w:hAnsi="Arial" w:cs="Arial"/>
        <w:sz w:val="20"/>
        <w:szCs w:val="20"/>
      </w:rPr>
      <w:tab/>
    </w:r>
    <w:r w:rsidRPr="000030C1">
      <w:rPr>
        <w:rFonts w:ascii="Arial" w:hAnsi="Arial" w:cs="Arial"/>
        <w:sz w:val="20"/>
        <w:szCs w:val="20"/>
      </w:rPr>
      <w:tab/>
      <w:t>(Release No. 71)</w:t>
    </w:r>
  </w:p>
  <w:sdt>
    <w:sdtPr>
      <w:rPr>
        <w:rFonts w:ascii="Arial" w:hAnsi="Arial" w:cs="Arial"/>
        <w:sz w:val="20"/>
        <w:szCs w:val="20"/>
      </w:rPr>
      <w:id w:val="-10378815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BD2943" w14:textId="0AFDADE3" w:rsidR="000030C1" w:rsidRPr="000030C1" w:rsidRDefault="000030C1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0030C1">
          <w:rPr>
            <w:rFonts w:ascii="Arial" w:hAnsi="Arial" w:cs="Arial"/>
            <w:sz w:val="20"/>
            <w:szCs w:val="20"/>
          </w:rPr>
          <w:fldChar w:fldCharType="begin"/>
        </w:r>
        <w:r w:rsidRPr="000030C1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0030C1">
          <w:rPr>
            <w:rFonts w:ascii="Arial" w:hAnsi="Arial" w:cs="Arial"/>
            <w:sz w:val="20"/>
            <w:szCs w:val="20"/>
          </w:rPr>
          <w:fldChar w:fldCharType="separate"/>
        </w:r>
        <w:r w:rsidRPr="000030C1">
          <w:rPr>
            <w:rFonts w:ascii="Arial" w:hAnsi="Arial" w:cs="Arial"/>
            <w:noProof/>
            <w:sz w:val="20"/>
            <w:szCs w:val="20"/>
          </w:rPr>
          <w:t>2</w:t>
        </w:r>
        <w:r w:rsidRPr="000030C1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5998E497" w14:textId="77777777" w:rsidR="000030C1" w:rsidRDefault="00003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76A9" w14:textId="77777777" w:rsidR="000030C1" w:rsidRDefault="000030C1" w:rsidP="000030C1">
      <w:pPr>
        <w:spacing w:after="0" w:line="240" w:lineRule="auto"/>
      </w:pPr>
      <w:r>
        <w:separator/>
      </w:r>
    </w:p>
  </w:footnote>
  <w:footnote w:type="continuationSeparator" w:id="0">
    <w:p w14:paraId="03165E31" w14:textId="77777777" w:rsidR="000030C1" w:rsidRDefault="000030C1" w:rsidP="00003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2A117" w14:textId="77777777" w:rsidR="000030C1" w:rsidRDefault="000030C1" w:rsidP="000030C1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3D1DAEEB" w14:textId="1BD1EF36" w:rsidR="000030C1" w:rsidRPr="000030C1" w:rsidRDefault="000030C1" w:rsidP="000030C1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28"/>
        <w:szCs w:val="28"/>
      </w:rPr>
    </w:pPr>
    <w:r w:rsidRPr="000030C1">
      <w:rPr>
        <w:rFonts w:ascii="Arial" w:eastAsia="Times New Roman" w:hAnsi="Arial" w:cs="Arial"/>
        <w:b/>
        <w:bCs/>
        <w:sz w:val="28"/>
        <w:szCs w:val="28"/>
      </w:rPr>
      <w:t>1375</w:t>
    </w:r>
    <w:r w:rsidRPr="000030C1">
      <w:rPr>
        <w:rFonts w:ascii="Arial" w:eastAsia="Times New Roman" w:hAnsi="Arial" w:cs="Arial"/>
        <w:b/>
        <w:bCs/>
        <w:sz w:val="28"/>
        <w:szCs w:val="28"/>
      </w:rPr>
      <w:tab/>
      <w:t>WIS JI</w:t>
    </w:r>
    <w:r w:rsidRPr="000030C1">
      <w:rPr>
        <w:rFonts w:ascii="Arial" w:eastAsia="Times New Roman" w:hAnsi="Arial" w:cs="Arial"/>
        <w:b/>
        <w:bCs/>
        <w:sz w:val="28"/>
        <w:szCs w:val="28"/>
      </w:rPr>
      <w:noBreakHyphen/>
      <w:t>CRIMINAL</w:t>
    </w:r>
    <w:r w:rsidRPr="000030C1">
      <w:rPr>
        <w:rFonts w:ascii="Arial" w:eastAsia="Times New Roman" w:hAnsi="Arial" w:cs="Arial"/>
        <w:b/>
        <w:bCs/>
        <w:sz w:val="28"/>
        <w:szCs w:val="28"/>
      </w:rPr>
      <w:tab/>
      <w:t>1375</w:t>
    </w:r>
  </w:p>
  <w:p w14:paraId="2C77A3AF" w14:textId="367D09C7" w:rsidR="000030C1" w:rsidRDefault="000030C1">
    <w:pPr>
      <w:pStyle w:val="Header"/>
    </w:pPr>
  </w:p>
  <w:p w14:paraId="75ECE31E" w14:textId="77777777" w:rsidR="000030C1" w:rsidRDefault="000030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C1"/>
    <w:rsid w:val="000030C1"/>
    <w:rsid w:val="00027878"/>
    <w:rsid w:val="00047EA4"/>
    <w:rsid w:val="00066496"/>
    <w:rsid w:val="00610D46"/>
    <w:rsid w:val="00893DAD"/>
    <w:rsid w:val="00C00501"/>
    <w:rsid w:val="00C0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25D4C"/>
  <w15:chartTrackingRefBased/>
  <w15:docId w15:val="{31ED107B-8FEF-483D-A815-B0EDAA0C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0C1"/>
  </w:style>
  <w:style w:type="paragraph" w:styleId="Footer">
    <w:name w:val="footer"/>
    <w:basedOn w:val="Normal"/>
    <w:link w:val="FooterChar"/>
    <w:uiPriority w:val="99"/>
    <w:unhideWhenUsed/>
    <w:rsid w:val="00003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0C1"/>
  </w:style>
  <w:style w:type="paragraph" w:styleId="NoSpacing">
    <w:name w:val="No Spacing"/>
    <w:uiPriority w:val="1"/>
    <w:qFormat/>
    <w:rsid w:val="000030C1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030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30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030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F1867-5265-44F0-A1E4-9EE243FEC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Supreme Court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Bryce Pierson</dc:creator>
  <cp:keywords/>
  <dc:description/>
  <cp:lastModifiedBy>Bryce Pierson</cp:lastModifiedBy>
  <cp:revision>6</cp:revision>
  <dcterms:created xsi:type="dcterms:W3CDTF">2026-07-13T19:28:00Z</dcterms:created>
  <dcterms:modified xsi:type="dcterms:W3CDTF">2026-07-13T19:42:00Z</dcterms:modified>
</cp:coreProperties>
</file>