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10EDF" w14:textId="77777777" w:rsidR="009474C9" w:rsidRPr="009474C9" w:rsidRDefault="009474C9" w:rsidP="009474C9">
      <w:pPr>
        <w:pStyle w:val="NoSpacing"/>
        <w:tabs>
          <w:tab w:val="left" w:pos="900"/>
        </w:tabs>
        <w:jc w:val="both"/>
        <w:rPr>
          <w:rFonts w:ascii="Times New Roman" w:hAnsi="Times New Roman" w:cs="Times New Roman"/>
          <w:b/>
          <w:bCs/>
          <w:sz w:val="26"/>
          <w:szCs w:val="26"/>
        </w:rPr>
      </w:pPr>
      <w:r w:rsidRPr="009474C9">
        <w:rPr>
          <w:rFonts w:ascii="Times New Roman" w:hAnsi="Times New Roman" w:cs="Times New Roman"/>
          <w:b/>
          <w:bCs/>
          <w:sz w:val="26"/>
          <w:szCs w:val="26"/>
        </w:rPr>
        <w:t>1441B</w:t>
      </w:r>
      <w:r w:rsidRPr="009474C9">
        <w:rPr>
          <w:rFonts w:ascii="Times New Roman" w:hAnsi="Times New Roman" w:cs="Times New Roman"/>
          <w:b/>
          <w:bCs/>
          <w:sz w:val="26"/>
          <w:szCs w:val="26"/>
        </w:rPr>
        <w:tab/>
        <w:t>THEFT:  PENALTY FACTORS — § 943.20(3)(d) and (3)(e), (3g), and (5)</w:t>
      </w:r>
    </w:p>
    <w:p w14:paraId="44145036" w14:textId="77777777" w:rsidR="009474C9" w:rsidRPr="009474C9" w:rsidRDefault="009474C9" w:rsidP="009474C9">
      <w:pPr>
        <w:pStyle w:val="NoSpacing"/>
        <w:jc w:val="both"/>
        <w:rPr>
          <w:rFonts w:ascii="Times New Roman" w:hAnsi="Times New Roman" w:cs="Times New Roman"/>
          <w:sz w:val="26"/>
          <w:szCs w:val="26"/>
        </w:rPr>
      </w:pPr>
    </w:p>
    <w:p w14:paraId="5A56013B" w14:textId="77777777" w:rsidR="009474C9" w:rsidRPr="009474C9" w:rsidRDefault="009474C9" w:rsidP="009474C9">
      <w:pPr>
        <w:pStyle w:val="NoSpacing"/>
        <w:jc w:val="both"/>
        <w:rPr>
          <w:rFonts w:ascii="Times New Roman" w:hAnsi="Times New Roman" w:cs="Times New Roman"/>
          <w:sz w:val="26"/>
          <w:szCs w:val="26"/>
        </w:rPr>
      </w:pPr>
    </w:p>
    <w:p w14:paraId="56E6D510" w14:textId="260182DD" w:rsidR="009474C9" w:rsidRDefault="009474C9" w:rsidP="009474C9">
      <w:pPr>
        <w:pStyle w:val="NoSpacing"/>
        <w:ind w:left="450" w:right="450"/>
        <w:jc w:val="both"/>
        <w:rPr>
          <w:rFonts w:ascii="Times New Roman" w:hAnsi="Times New Roman" w:cs="Times New Roman"/>
          <w:sz w:val="26"/>
          <w:szCs w:val="26"/>
        </w:rPr>
      </w:pPr>
      <w:r w:rsidRPr="009474C9">
        <w:rPr>
          <w:rFonts w:ascii="Times New Roman" w:hAnsi="Times New Roman" w:cs="Times New Roman"/>
          <w:sz w:val="26"/>
          <w:szCs w:val="26"/>
        </w:rPr>
        <w:t>ADD ONE OF THE FOLLOWING QUESTIONS IF FELONY THEFT IS CHARGED AND THE EVIDENCE WOULD SUPPORT A FINDING THAT A PENALTY FACTOR SET FORTH IN SUB. (3)(d), (3)(e), (3g), OR (5) IS ESTABLISHED.</w:t>
      </w:r>
    </w:p>
    <w:p w14:paraId="23061E6C" w14:textId="77777777" w:rsidR="009474C9" w:rsidRPr="009474C9" w:rsidRDefault="009474C9" w:rsidP="009474C9">
      <w:pPr>
        <w:pStyle w:val="NoSpacing"/>
        <w:ind w:left="450" w:right="450"/>
        <w:jc w:val="both"/>
        <w:rPr>
          <w:rFonts w:ascii="Times New Roman" w:hAnsi="Times New Roman" w:cs="Times New Roman"/>
          <w:sz w:val="26"/>
          <w:szCs w:val="26"/>
        </w:rPr>
      </w:pPr>
    </w:p>
    <w:p w14:paraId="7088BA46" w14:textId="77777777"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If you find the defendant guilty, you must answer the following question:</w:t>
      </w:r>
    </w:p>
    <w:p w14:paraId="485F0C1C" w14:textId="5C24774D" w:rsidR="009474C9" w:rsidRPr="009474C9" w:rsidRDefault="009474C9" w:rsidP="009474C9">
      <w:pPr>
        <w:pStyle w:val="NoSpacing"/>
        <w:spacing w:line="480" w:lineRule="auto"/>
        <w:jc w:val="center"/>
        <w:rPr>
          <w:rFonts w:ascii="Times New Roman" w:hAnsi="Times New Roman" w:cs="Times New Roman"/>
          <w:sz w:val="26"/>
          <w:szCs w:val="26"/>
        </w:rPr>
      </w:pPr>
      <w:r w:rsidRPr="009474C9">
        <w:rPr>
          <w:rFonts w:ascii="Times New Roman" w:hAnsi="Times New Roman" w:cs="Times New Roman"/>
          <w:sz w:val="26"/>
          <w:szCs w:val="26"/>
        </w:rPr>
        <w:t>FOR CHARGES UNDER SUB. (3)(d)1.</w:t>
      </w:r>
    </w:p>
    <w:p w14:paraId="0160719B" w14:textId="2AE84D95"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[“Was the property taken a domestic animal?”]</w:t>
      </w:r>
      <w:r>
        <w:rPr>
          <w:rStyle w:val="EndnoteReference"/>
          <w:rFonts w:ascii="Times New Roman" w:hAnsi="Times New Roman" w:cs="Times New Roman"/>
          <w:sz w:val="26"/>
          <w:szCs w:val="26"/>
        </w:rPr>
        <w:endnoteReference w:id="1"/>
      </w:r>
    </w:p>
    <w:p w14:paraId="6BF2FC35" w14:textId="37CD9378" w:rsidR="009474C9" w:rsidRPr="009474C9" w:rsidRDefault="009474C9" w:rsidP="009474C9">
      <w:pPr>
        <w:pStyle w:val="NoSpacing"/>
        <w:spacing w:line="480" w:lineRule="auto"/>
        <w:jc w:val="center"/>
        <w:rPr>
          <w:rFonts w:ascii="Times New Roman" w:hAnsi="Times New Roman" w:cs="Times New Roman"/>
          <w:sz w:val="26"/>
          <w:szCs w:val="26"/>
        </w:rPr>
      </w:pPr>
      <w:r w:rsidRPr="009474C9">
        <w:rPr>
          <w:rFonts w:ascii="Times New Roman" w:hAnsi="Times New Roman" w:cs="Times New Roman"/>
          <w:sz w:val="26"/>
          <w:szCs w:val="26"/>
        </w:rPr>
        <w:t>FOR CHARGES UNDER SUB. (3)(d)3.</w:t>
      </w:r>
    </w:p>
    <w:p w14:paraId="63C2603C" w14:textId="65BB946E"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[“Was the property taken from a building which has been destroyed or left unoccupied because of physical disaster, riot, bombing or the proximity of battle?”]</w:t>
      </w:r>
      <w:r w:rsidR="00827C54">
        <w:rPr>
          <w:rStyle w:val="EndnoteReference"/>
          <w:rFonts w:ascii="Times New Roman" w:hAnsi="Times New Roman" w:cs="Times New Roman"/>
          <w:sz w:val="26"/>
          <w:szCs w:val="26"/>
        </w:rPr>
        <w:endnoteReference w:id="2"/>
      </w:r>
      <w:r w:rsidRPr="009474C9">
        <w:rPr>
          <w:rFonts w:ascii="Times New Roman" w:hAnsi="Times New Roman" w:cs="Times New Roman"/>
          <w:sz w:val="26"/>
          <w:szCs w:val="26"/>
        </w:rPr>
        <w:t xml:space="preserve"> </w:t>
      </w:r>
    </w:p>
    <w:p w14:paraId="32F2C13A" w14:textId="56B15EC1" w:rsidR="009474C9" w:rsidRPr="009474C9" w:rsidRDefault="009474C9" w:rsidP="009474C9">
      <w:pPr>
        <w:pStyle w:val="NoSpacing"/>
        <w:spacing w:line="480" w:lineRule="auto"/>
        <w:jc w:val="center"/>
        <w:rPr>
          <w:rFonts w:ascii="Times New Roman" w:hAnsi="Times New Roman" w:cs="Times New Roman"/>
          <w:sz w:val="26"/>
          <w:szCs w:val="26"/>
        </w:rPr>
      </w:pPr>
      <w:r w:rsidRPr="009474C9">
        <w:rPr>
          <w:rFonts w:ascii="Times New Roman" w:hAnsi="Times New Roman" w:cs="Times New Roman"/>
          <w:sz w:val="26"/>
          <w:szCs w:val="26"/>
        </w:rPr>
        <w:t>FOR CHARGES UNDER SUB. (3)(d)4.</w:t>
      </w:r>
    </w:p>
    <w:p w14:paraId="25EBA956" w14:textId="7427B169"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[“Was the property taken after physical disaster, riot, bombing or the proximity of battle has necessitated its removal from a building?”]</w:t>
      </w:r>
      <w:r w:rsidR="00827C54">
        <w:rPr>
          <w:rStyle w:val="EndnoteReference"/>
          <w:rFonts w:ascii="Times New Roman" w:hAnsi="Times New Roman" w:cs="Times New Roman"/>
          <w:sz w:val="26"/>
          <w:szCs w:val="26"/>
        </w:rPr>
        <w:endnoteReference w:id="3"/>
      </w:r>
      <w:r w:rsidRPr="009474C9">
        <w:rPr>
          <w:rFonts w:ascii="Times New Roman" w:hAnsi="Times New Roman" w:cs="Times New Roman"/>
          <w:sz w:val="26"/>
          <w:szCs w:val="26"/>
        </w:rPr>
        <w:t xml:space="preserve"> </w:t>
      </w:r>
    </w:p>
    <w:p w14:paraId="5CCC04DC" w14:textId="6FBD556A" w:rsidR="009474C9" w:rsidRPr="009474C9" w:rsidRDefault="009474C9" w:rsidP="009474C9">
      <w:pPr>
        <w:pStyle w:val="NoSpacing"/>
        <w:spacing w:line="480" w:lineRule="auto"/>
        <w:jc w:val="center"/>
        <w:rPr>
          <w:rFonts w:ascii="Times New Roman" w:hAnsi="Times New Roman" w:cs="Times New Roman"/>
          <w:sz w:val="26"/>
          <w:szCs w:val="26"/>
        </w:rPr>
      </w:pPr>
      <w:r w:rsidRPr="009474C9">
        <w:rPr>
          <w:rFonts w:ascii="Times New Roman" w:hAnsi="Times New Roman" w:cs="Times New Roman"/>
          <w:sz w:val="26"/>
          <w:szCs w:val="26"/>
        </w:rPr>
        <w:t>FOR CHARGES UNDER SUB. (3)(d)5.</w:t>
      </w:r>
    </w:p>
    <w:p w14:paraId="19E343BE" w14:textId="3528E865"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[“Was the property taken a firearm?”</w:t>
      </w:r>
      <w:r w:rsidR="00827C54">
        <w:rPr>
          <w:rStyle w:val="EndnoteReference"/>
          <w:rFonts w:ascii="Times New Roman" w:hAnsi="Times New Roman" w:cs="Times New Roman"/>
          <w:sz w:val="26"/>
          <w:szCs w:val="26"/>
        </w:rPr>
        <w:endnoteReference w:id="4"/>
      </w:r>
    </w:p>
    <w:p w14:paraId="3EAA7F01" w14:textId="77777777"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“Firearm” means a weapon that acts by the force of gunpowder.]</w:t>
      </w:r>
    </w:p>
    <w:p w14:paraId="2DD71EEF" w14:textId="36771B37" w:rsidR="009474C9" w:rsidRPr="009474C9" w:rsidRDefault="009474C9" w:rsidP="009474C9">
      <w:pPr>
        <w:pStyle w:val="NoSpacing"/>
        <w:spacing w:line="480" w:lineRule="auto"/>
        <w:jc w:val="center"/>
        <w:rPr>
          <w:rFonts w:ascii="Times New Roman" w:hAnsi="Times New Roman" w:cs="Times New Roman"/>
          <w:sz w:val="26"/>
          <w:szCs w:val="26"/>
        </w:rPr>
      </w:pPr>
      <w:r w:rsidRPr="009474C9">
        <w:rPr>
          <w:rFonts w:ascii="Times New Roman" w:hAnsi="Times New Roman" w:cs="Times New Roman"/>
          <w:sz w:val="26"/>
          <w:szCs w:val="26"/>
        </w:rPr>
        <w:t>FOR CHARGES UNDER SUB. (3)(d)6.</w:t>
      </w:r>
    </w:p>
    <w:p w14:paraId="30CA7AEF" w14:textId="684569B4" w:rsid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[“Was the property taken from (an individual at risk) (a patient or resident of a (</w:t>
      </w:r>
      <w:r w:rsidRPr="00827C54">
        <w:rPr>
          <w:rFonts w:ascii="Times New Roman" w:hAnsi="Times New Roman" w:cs="Times New Roman"/>
          <w:sz w:val="26"/>
          <w:szCs w:val="26"/>
          <w:u w:val="single"/>
        </w:rPr>
        <w:t xml:space="preserve">name type of facility under </w:t>
      </w:r>
      <w:r w:rsidR="008E3407">
        <w:rPr>
          <w:rFonts w:ascii="Times New Roman" w:hAnsi="Times New Roman" w:cs="Times New Roman"/>
          <w:sz w:val="26"/>
          <w:szCs w:val="26"/>
          <w:u w:val="single"/>
        </w:rPr>
        <w:t>§</w:t>
      </w:r>
      <w:r w:rsidRPr="00827C54">
        <w:rPr>
          <w:rFonts w:ascii="Times New Roman" w:hAnsi="Times New Roman" w:cs="Times New Roman"/>
          <w:sz w:val="26"/>
          <w:szCs w:val="26"/>
          <w:u w:val="single"/>
        </w:rPr>
        <w:t xml:space="preserve"> 940.295(2)</w:t>
      </w:r>
      <w:r w:rsidRPr="009474C9">
        <w:rPr>
          <w:rFonts w:ascii="Times New Roman" w:hAnsi="Times New Roman" w:cs="Times New Roman"/>
          <w:sz w:val="26"/>
          <w:szCs w:val="26"/>
        </w:rPr>
        <w:t>))?”]</w:t>
      </w:r>
      <w:r w:rsidR="00827C54">
        <w:rPr>
          <w:rStyle w:val="EndnoteReference"/>
          <w:rFonts w:ascii="Times New Roman" w:hAnsi="Times New Roman" w:cs="Times New Roman"/>
          <w:sz w:val="26"/>
          <w:szCs w:val="26"/>
        </w:rPr>
        <w:endnoteReference w:id="5"/>
      </w:r>
    </w:p>
    <w:p w14:paraId="243CBEC2" w14:textId="77777777" w:rsidR="009474C9" w:rsidRPr="009474C9" w:rsidRDefault="009474C9" w:rsidP="009474C9">
      <w:pPr>
        <w:pStyle w:val="NoSpacing"/>
        <w:spacing w:line="480" w:lineRule="auto"/>
        <w:ind w:firstLine="450"/>
        <w:jc w:val="both"/>
        <w:rPr>
          <w:rFonts w:ascii="Times New Roman" w:hAnsi="Times New Roman" w:cs="Times New Roman"/>
          <w:sz w:val="26"/>
          <w:szCs w:val="26"/>
        </w:rPr>
      </w:pPr>
    </w:p>
    <w:p w14:paraId="62DB00EF" w14:textId="1A7D5F25" w:rsidR="009474C9" w:rsidRPr="009474C9" w:rsidRDefault="009474C9" w:rsidP="009474C9">
      <w:pPr>
        <w:pStyle w:val="NoSpacing"/>
        <w:spacing w:line="480" w:lineRule="auto"/>
        <w:jc w:val="center"/>
        <w:rPr>
          <w:rFonts w:ascii="Times New Roman" w:hAnsi="Times New Roman" w:cs="Times New Roman"/>
          <w:sz w:val="26"/>
          <w:szCs w:val="26"/>
        </w:rPr>
      </w:pPr>
      <w:r w:rsidRPr="009474C9">
        <w:rPr>
          <w:rFonts w:ascii="Times New Roman" w:hAnsi="Times New Roman" w:cs="Times New Roman"/>
          <w:sz w:val="26"/>
          <w:szCs w:val="26"/>
        </w:rPr>
        <w:lastRenderedPageBreak/>
        <w:t>FOR CHARGES UNDER SUB. (3)(e).</w:t>
      </w:r>
    </w:p>
    <w:p w14:paraId="06BFB010" w14:textId="4D77452F"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[“Was the property taken from (the person of another) (a corpse)?”]</w:t>
      </w:r>
      <w:r w:rsidR="00827C54">
        <w:rPr>
          <w:rStyle w:val="EndnoteReference"/>
          <w:rFonts w:ascii="Times New Roman" w:hAnsi="Times New Roman" w:cs="Times New Roman"/>
          <w:sz w:val="26"/>
          <w:szCs w:val="26"/>
        </w:rPr>
        <w:endnoteReference w:id="6"/>
      </w:r>
      <w:r w:rsidRPr="009474C9">
        <w:rPr>
          <w:rFonts w:ascii="Times New Roman" w:hAnsi="Times New Roman" w:cs="Times New Roman"/>
          <w:sz w:val="26"/>
          <w:szCs w:val="26"/>
        </w:rPr>
        <w:t xml:space="preserve"> </w:t>
      </w:r>
    </w:p>
    <w:p w14:paraId="02D2041F" w14:textId="1A80C41F"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[This requires that the property was taken from the body of the person in possession of the property, or that the person had immediate control over the property.]</w:t>
      </w:r>
      <w:r w:rsidR="00827C54">
        <w:rPr>
          <w:rStyle w:val="EndnoteReference"/>
          <w:rFonts w:ascii="Times New Roman" w:hAnsi="Times New Roman" w:cs="Times New Roman"/>
          <w:sz w:val="26"/>
          <w:szCs w:val="26"/>
        </w:rPr>
        <w:endnoteReference w:id="7"/>
      </w:r>
      <w:r w:rsidRPr="009474C9">
        <w:rPr>
          <w:rFonts w:ascii="Times New Roman" w:hAnsi="Times New Roman" w:cs="Times New Roman"/>
          <w:sz w:val="26"/>
          <w:szCs w:val="26"/>
        </w:rPr>
        <w:t xml:space="preserve"> </w:t>
      </w:r>
    </w:p>
    <w:p w14:paraId="4DF4D67A" w14:textId="77777777" w:rsidR="009474C9" w:rsidRPr="009474C9" w:rsidRDefault="009474C9" w:rsidP="009474C9">
      <w:pPr>
        <w:pStyle w:val="NoSpacing"/>
        <w:spacing w:line="480" w:lineRule="auto"/>
        <w:jc w:val="center"/>
        <w:rPr>
          <w:rFonts w:ascii="Times New Roman" w:hAnsi="Times New Roman" w:cs="Times New Roman"/>
          <w:sz w:val="26"/>
          <w:szCs w:val="26"/>
        </w:rPr>
      </w:pPr>
      <w:r w:rsidRPr="009474C9">
        <w:rPr>
          <w:rFonts w:ascii="Times New Roman" w:hAnsi="Times New Roman" w:cs="Times New Roman"/>
          <w:sz w:val="26"/>
          <w:szCs w:val="26"/>
        </w:rPr>
        <w:t>FOR CHARGES UNDER SUB. (3g).</w:t>
      </w:r>
    </w:p>
    <w:p w14:paraId="44D4EF86" w14:textId="77777777"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[“Did the defendant have one or more prior convictions for a violation under § 943.20(3)(a) to (cm) or § 943.50(4)(a) to (c)?”]</w:t>
      </w:r>
    </w:p>
    <w:p w14:paraId="37F5B30F" w14:textId="77777777" w:rsidR="009474C9" w:rsidRPr="009474C9" w:rsidRDefault="009474C9" w:rsidP="009474C9">
      <w:pPr>
        <w:pStyle w:val="NoSpacing"/>
        <w:spacing w:line="480" w:lineRule="auto"/>
        <w:jc w:val="center"/>
        <w:rPr>
          <w:rFonts w:ascii="Times New Roman" w:hAnsi="Times New Roman" w:cs="Times New Roman"/>
          <w:sz w:val="26"/>
          <w:szCs w:val="26"/>
        </w:rPr>
      </w:pPr>
      <w:r w:rsidRPr="009474C9">
        <w:rPr>
          <w:rFonts w:ascii="Times New Roman" w:hAnsi="Times New Roman" w:cs="Times New Roman"/>
          <w:sz w:val="26"/>
          <w:szCs w:val="26"/>
        </w:rPr>
        <w:t>FOR CHARGES UNDER SUB. (5).</w:t>
      </w:r>
    </w:p>
    <w:p w14:paraId="67E315F2" w14:textId="144EFB84"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[“Were the multiple thefts committed by the same person, within the same prosecutorial unit</w:t>
      </w:r>
      <w:r w:rsidR="00827C54">
        <w:rPr>
          <w:rStyle w:val="EndnoteReference"/>
          <w:rFonts w:ascii="Times New Roman" w:hAnsi="Times New Roman" w:cs="Times New Roman"/>
          <w:sz w:val="26"/>
          <w:szCs w:val="26"/>
        </w:rPr>
        <w:endnoteReference w:id="8"/>
      </w:r>
      <w:r w:rsidRPr="009474C9">
        <w:rPr>
          <w:rFonts w:ascii="Times New Roman" w:hAnsi="Times New Roman" w:cs="Times New Roman"/>
          <w:sz w:val="26"/>
          <w:szCs w:val="26"/>
        </w:rPr>
        <w:t>, during a course of conduct?”]</w:t>
      </w:r>
      <w:r w:rsidR="00827C54">
        <w:rPr>
          <w:rStyle w:val="EndnoteReference"/>
          <w:rFonts w:ascii="Times New Roman" w:hAnsi="Times New Roman" w:cs="Times New Roman"/>
          <w:sz w:val="26"/>
          <w:szCs w:val="26"/>
        </w:rPr>
        <w:endnoteReference w:id="9"/>
      </w:r>
    </w:p>
    <w:p w14:paraId="0DCDDA68" w14:textId="35BD3403"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[“Prosecutorial unit” means a county.]</w:t>
      </w:r>
      <w:r w:rsidR="00827C54">
        <w:rPr>
          <w:rStyle w:val="EndnoteReference"/>
          <w:rFonts w:ascii="Times New Roman" w:hAnsi="Times New Roman" w:cs="Times New Roman"/>
          <w:sz w:val="26"/>
          <w:szCs w:val="26"/>
        </w:rPr>
        <w:endnoteReference w:id="10"/>
      </w:r>
    </w:p>
    <w:p w14:paraId="2D407411" w14:textId="4BA4B30A"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[“Course of conduct” means a pattern of conduct composed of a series of acts over a period of time, however short, evidencing a continuity of purpose.</w:t>
      </w:r>
      <w:r w:rsidR="00827C54">
        <w:rPr>
          <w:rStyle w:val="EndnoteReference"/>
          <w:rFonts w:ascii="Times New Roman" w:hAnsi="Times New Roman" w:cs="Times New Roman"/>
          <w:sz w:val="26"/>
          <w:szCs w:val="26"/>
        </w:rPr>
        <w:endnoteReference w:id="11"/>
      </w:r>
      <w:r w:rsidRPr="009474C9">
        <w:rPr>
          <w:rFonts w:ascii="Times New Roman" w:hAnsi="Times New Roman" w:cs="Times New Roman"/>
          <w:sz w:val="26"/>
          <w:szCs w:val="26"/>
        </w:rPr>
        <w:t>]</w:t>
      </w:r>
    </w:p>
    <w:p w14:paraId="1CB17111" w14:textId="77777777"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Before you may answer the question “yes,” you must be satisfied beyond a reasonable doubt that the answer to the question is “yes.”</w:t>
      </w:r>
    </w:p>
    <w:p w14:paraId="5E4B5830" w14:textId="77777777" w:rsidR="009474C9" w:rsidRPr="009474C9" w:rsidRDefault="009474C9" w:rsidP="009474C9">
      <w:pPr>
        <w:pStyle w:val="NoSpacing"/>
        <w:spacing w:line="480" w:lineRule="auto"/>
        <w:ind w:firstLine="450"/>
        <w:jc w:val="both"/>
        <w:rPr>
          <w:rFonts w:ascii="Times New Roman" w:hAnsi="Times New Roman" w:cs="Times New Roman"/>
          <w:sz w:val="26"/>
          <w:szCs w:val="26"/>
        </w:rPr>
      </w:pPr>
      <w:r w:rsidRPr="009474C9">
        <w:rPr>
          <w:rFonts w:ascii="Times New Roman" w:hAnsi="Times New Roman" w:cs="Times New Roman"/>
          <w:sz w:val="26"/>
          <w:szCs w:val="26"/>
        </w:rPr>
        <w:t>If you are not so satisfied, you must answer the question “no.”</w:t>
      </w:r>
    </w:p>
    <w:p w14:paraId="0B83206D" w14:textId="77777777" w:rsidR="009474C9" w:rsidRPr="009474C9" w:rsidRDefault="009474C9" w:rsidP="009474C9">
      <w:pPr>
        <w:pStyle w:val="NoSpacing"/>
        <w:jc w:val="both"/>
        <w:rPr>
          <w:rFonts w:ascii="Times New Roman" w:hAnsi="Times New Roman" w:cs="Times New Roman"/>
          <w:sz w:val="26"/>
          <w:szCs w:val="26"/>
        </w:rPr>
      </w:pPr>
    </w:p>
    <w:p w14:paraId="407FBA28" w14:textId="77777777" w:rsidR="009474C9" w:rsidRPr="009474C9" w:rsidRDefault="009474C9" w:rsidP="009474C9">
      <w:pPr>
        <w:pStyle w:val="NoSpacing"/>
        <w:jc w:val="both"/>
        <w:rPr>
          <w:rFonts w:ascii="Times New Roman" w:hAnsi="Times New Roman" w:cs="Times New Roman"/>
          <w:sz w:val="26"/>
          <w:szCs w:val="26"/>
        </w:rPr>
      </w:pPr>
    </w:p>
    <w:p w14:paraId="7F157216" w14:textId="77777777" w:rsidR="009474C9" w:rsidRPr="009474C9" w:rsidRDefault="009474C9" w:rsidP="009474C9">
      <w:pPr>
        <w:pStyle w:val="NoSpacing"/>
        <w:jc w:val="both"/>
        <w:rPr>
          <w:rFonts w:ascii="Times New Roman" w:hAnsi="Times New Roman" w:cs="Times New Roman"/>
          <w:sz w:val="26"/>
          <w:szCs w:val="26"/>
        </w:rPr>
      </w:pPr>
    </w:p>
    <w:p w14:paraId="74C6A2DC" w14:textId="77777777" w:rsidR="009474C9" w:rsidRPr="009474C9" w:rsidRDefault="009474C9" w:rsidP="009474C9">
      <w:pPr>
        <w:pStyle w:val="NoSpacing"/>
        <w:jc w:val="both"/>
        <w:rPr>
          <w:rFonts w:ascii="Times New Roman" w:hAnsi="Times New Roman" w:cs="Times New Roman"/>
          <w:sz w:val="26"/>
          <w:szCs w:val="26"/>
        </w:rPr>
      </w:pPr>
    </w:p>
    <w:p w14:paraId="0362CF48" w14:textId="77777777" w:rsidR="009474C9" w:rsidRPr="009474C9" w:rsidRDefault="009474C9" w:rsidP="009474C9">
      <w:pPr>
        <w:pStyle w:val="NoSpacing"/>
        <w:jc w:val="both"/>
        <w:rPr>
          <w:rFonts w:ascii="Times New Roman" w:hAnsi="Times New Roman" w:cs="Times New Roman"/>
          <w:b/>
          <w:bCs/>
        </w:rPr>
      </w:pPr>
      <w:r w:rsidRPr="009474C9">
        <w:rPr>
          <w:rFonts w:ascii="Times New Roman" w:hAnsi="Times New Roman" w:cs="Times New Roman"/>
          <w:b/>
          <w:bCs/>
        </w:rPr>
        <w:t>COMMENT</w:t>
      </w:r>
    </w:p>
    <w:p w14:paraId="00B6AC4A" w14:textId="77777777" w:rsidR="009474C9" w:rsidRPr="009474C9" w:rsidRDefault="009474C9" w:rsidP="009474C9">
      <w:pPr>
        <w:pStyle w:val="NoSpacing"/>
        <w:jc w:val="both"/>
        <w:rPr>
          <w:rFonts w:ascii="Times New Roman" w:hAnsi="Times New Roman" w:cs="Times New Roman"/>
        </w:rPr>
      </w:pPr>
    </w:p>
    <w:p w14:paraId="7AFC5005" w14:textId="477257F1" w:rsidR="009474C9" w:rsidRPr="009474C9" w:rsidRDefault="009474C9" w:rsidP="009474C9">
      <w:pPr>
        <w:pStyle w:val="NoSpacing"/>
        <w:ind w:firstLine="450"/>
        <w:jc w:val="both"/>
        <w:rPr>
          <w:rFonts w:ascii="Times New Roman" w:hAnsi="Times New Roman" w:cs="Times New Roman"/>
        </w:rPr>
      </w:pPr>
      <w:r w:rsidRPr="009474C9">
        <w:rPr>
          <w:rFonts w:ascii="Times New Roman" w:hAnsi="Times New Roman" w:cs="Times New Roman"/>
        </w:rPr>
        <w:t>Wis JI</w:t>
      </w:r>
      <w:r>
        <w:rPr>
          <w:rFonts w:ascii="Times New Roman" w:hAnsi="Times New Roman" w:cs="Times New Roman"/>
        </w:rPr>
        <w:t>–</w:t>
      </w:r>
      <w:r w:rsidRPr="009474C9">
        <w:rPr>
          <w:rFonts w:ascii="Times New Roman" w:hAnsi="Times New Roman" w:cs="Times New Roman"/>
        </w:rPr>
        <w:t xml:space="preserve">Criminal 1441B was originally published in 1999 and revised in 2002, 2003, 2008, 2018, </w:t>
      </w:r>
      <w:r w:rsidR="00373EAC">
        <w:rPr>
          <w:rFonts w:ascii="Times New Roman" w:hAnsi="Times New Roman" w:cs="Times New Roman"/>
        </w:rPr>
        <w:t xml:space="preserve">and </w:t>
      </w:r>
      <w:r w:rsidRPr="009474C9">
        <w:rPr>
          <w:rFonts w:ascii="Times New Roman" w:hAnsi="Times New Roman" w:cs="Times New Roman"/>
        </w:rPr>
        <w:t xml:space="preserve">2020. The 2018 revision made an editorial correction and </w:t>
      </w:r>
      <w:r w:rsidR="003F49B1">
        <w:rPr>
          <w:rFonts w:ascii="Times New Roman" w:hAnsi="Times New Roman" w:cs="Times New Roman"/>
        </w:rPr>
        <w:t xml:space="preserve">revised </w:t>
      </w:r>
      <w:r w:rsidRPr="009474C9">
        <w:rPr>
          <w:rFonts w:ascii="Times New Roman" w:hAnsi="Times New Roman" w:cs="Times New Roman"/>
        </w:rPr>
        <w:t>footnote 6.</w:t>
      </w:r>
      <w:r w:rsidR="00B76D67">
        <w:rPr>
          <w:rFonts w:ascii="Times New Roman" w:hAnsi="Times New Roman" w:cs="Times New Roman"/>
        </w:rPr>
        <w:t xml:space="preserve"> </w:t>
      </w:r>
      <w:r w:rsidRPr="009474C9">
        <w:rPr>
          <w:rFonts w:ascii="Times New Roman" w:hAnsi="Times New Roman" w:cs="Times New Roman"/>
        </w:rPr>
        <w:t>The 2020 revision added language to the bracketed requirement for charges under sub. (3)(e), and added footnote 7.</w:t>
      </w:r>
      <w:r w:rsidR="00B76D67">
        <w:rPr>
          <w:rFonts w:ascii="Times New Roman" w:hAnsi="Times New Roman" w:cs="Times New Roman"/>
        </w:rPr>
        <w:t xml:space="preserve"> </w:t>
      </w:r>
      <w:r w:rsidRPr="009474C9">
        <w:rPr>
          <w:rFonts w:ascii="Times New Roman" w:hAnsi="Times New Roman" w:cs="Times New Roman"/>
        </w:rPr>
        <w:t xml:space="preserve">This revision </w:t>
      </w:r>
      <w:r w:rsidRPr="009474C9">
        <w:rPr>
          <w:rFonts w:ascii="Times New Roman" w:hAnsi="Times New Roman" w:cs="Times New Roman"/>
        </w:rPr>
        <w:lastRenderedPageBreak/>
        <w:t>was approved by the Committee in June 2026.</w:t>
      </w:r>
      <w:r w:rsidR="00B76D67">
        <w:rPr>
          <w:rFonts w:ascii="Times New Roman" w:hAnsi="Times New Roman" w:cs="Times New Roman"/>
        </w:rPr>
        <w:t xml:space="preserve"> </w:t>
      </w:r>
      <w:r w:rsidRPr="009474C9">
        <w:rPr>
          <w:rFonts w:ascii="Times New Roman" w:hAnsi="Times New Roman" w:cs="Times New Roman"/>
        </w:rPr>
        <w:t xml:space="preserve">It added language pursuant to 2025 Wisconsin Act 106 [effective date: March 22, 2026], which </w:t>
      </w:r>
      <w:r w:rsidR="003F49B1">
        <w:rPr>
          <w:rFonts w:ascii="Times New Roman" w:hAnsi="Times New Roman" w:cs="Times New Roman"/>
        </w:rPr>
        <w:t>created</w:t>
      </w:r>
      <w:r w:rsidRPr="009474C9">
        <w:rPr>
          <w:rFonts w:ascii="Times New Roman" w:hAnsi="Times New Roman" w:cs="Times New Roman"/>
        </w:rPr>
        <w:t xml:space="preserve"> sub. (3g) (Increased Penalty for Repeated Violations) and sub. (5) (Aggregation of Values) to § 943.20. </w:t>
      </w:r>
    </w:p>
    <w:p w14:paraId="3C96D86A" w14:textId="77777777" w:rsidR="009474C9" w:rsidRPr="009474C9" w:rsidRDefault="009474C9" w:rsidP="009474C9">
      <w:pPr>
        <w:pStyle w:val="NoSpacing"/>
        <w:jc w:val="both"/>
        <w:rPr>
          <w:rFonts w:ascii="Times New Roman" w:hAnsi="Times New Roman" w:cs="Times New Roman"/>
        </w:rPr>
      </w:pPr>
    </w:p>
    <w:p w14:paraId="01F91E9F" w14:textId="08A4923E" w:rsidR="009474C9" w:rsidRPr="009474C9" w:rsidRDefault="009474C9" w:rsidP="009474C9">
      <w:pPr>
        <w:pStyle w:val="NoSpacing"/>
        <w:ind w:firstLine="450"/>
        <w:jc w:val="both"/>
        <w:rPr>
          <w:rFonts w:ascii="Times New Roman" w:hAnsi="Times New Roman" w:cs="Times New Roman"/>
        </w:rPr>
      </w:pPr>
      <w:r w:rsidRPr="009474C9">
        <w:rPr>
          <w:rFonts w:ascii="Times New Roman" w:hAnsi="Times New Roman" w:cs="Times New Roman"/>
        </w:rPr>
        <w:t>This instruction addresses the eight penalty-increasing factors set forth in § 943.20(3)(d), (e), (3g), and (5). Theft from person – set forth in subdiv. (3)(e) – was formerly covered by a separate instruction, Wis JI</w:t>
      </w:r>
      <w:r w:rsidR="008E3407" w:rsidRPr="008E3407">
        <w:rPr>
          <w:rFonts w:ascii="Times New Roman" w:hAnsi="Times New Roman" w:cs="Times New Roman"/>
        </w:rPr>
        <w:t>–</w:t>
      </w:r>
      <w:r w:rsidRPr="009474C9">
        <w:rPr>
          <w:rFonts w:ascii="Times New Roman" w:hAnsi="Times New Roman" w:cs="Times New Roman"/>
        </w:rPr>
        <w:t xml:space="preserve">Criminal 1442, but that instruction has been withdrawn in favor of including all the factors together in this instruction. Each of the factors in sub. (3)(d) increases the penalty to a Class H felony; theft from person under sub. (3)(e) is a Class G felony. Section 943.20(3)(d), </w:t>
      </w:r>
      <w:r w:rsidR="003F49B1">
        <w:rPr>
          <w:rFonts w:ascii="Times New Roman" w:hAnsi="Times New Roman" w:cs="Times New Roman"/>
        </w:rPr>
        <w:t>w</w:t>
      </w:r>
      <w:r w:rsidRPr="009474C9">
        <w:rPr>
          <w:rFonts w:ascii="Times New Roman" w:hAnsi="Times New Roman" w:cs="Times New Roman"/>
        </w:rPr>
        <w:t>as amended by 2001 Wisconsin Act 109.</w:t>
      </w:r>
    </w:p>
    <w:p w14:paraId="4D187182" w14:textId="77777777" w:rsidR="009474C9" w:rsidRPr="009474C9" w:rsidRDefault="009474C9" w:rsidP="009474C9">
      <w:pPr>
        <w:pStyle w:val="NoSpacing"/>
        <w:jc w:val="both"/>
        <w:rPr>
          <w:rFonts w:ascii="Times New Roman" w:hAnsi="Times New Roman" w:cs="Times New Roman"/>
        </w:rPr>
      </w:pPr>
    </w:p>
    <w:p w14:paraId="3DC76777" w14:textId="4A51C662" w:rsidR="009474C9" w:rsidRPr="009474C9" w:rsidRDefault="009474C9" w:rsidP="009474C9">
      <w:pPr>
        <w:pStyle w:val="NoSpacing"/>
        <w:ind w:firstLine="450"/>
        <w:jc w:val="both"/>
        <w:rPr>
          <w:rFonts w:ascii="Times New Roman" w:hAnsi="Times New Roman" w:cs="Times New Roman"/>
        </w:rPr>
      </w:pPr>
      <w:r w:rsidRPr="009474C9">
        <w:rPr>
          <w:rFonts w:ascii="Times New Roman" w:hAnsi="Times New Roman" w:cs="Times New Roman"/>
        </w:rPr>
        <w:t>Section 943.20(3g), as created by 2025 Wisconsin Act 106, provides an increased penalty when the defendant has one or more prior convictions for a violation of § 943.20(3)(a) to (cm) or § 943.50(4)(a) to (c). A person charged with a misdemeanor under sub. (3)(a) may be convicted of a Class I felony if prior convictions exist. A person charged with a felony under sub. (3)(bf) to (cm) may be convicted of a felony one classification higher if prior convictions exist. This provision first applies to violations committed on or after March 22, 2026, but prior convictions occurring before that date may be counted for purposes of the enhancement. Section 943.20(5), also created by 2025 Wisconsin Act 106, permits aggregation of the value of property from multiple violations committed in the same prosecutorial unit by the same person during a course of conduct, as defined in § 947.013(1)(a), for purposes of charging and penalty determinations under sub. (3)(a) to (cm). See also § 971.36(5), which provides that aggregated acts under § 943.20(5) may be prosecuted as a single crime.</w:t>
      </w:r>
    </w:p>
    <w:p w14:paraId="25D9058B" w14:textId="77777777" w:rsidR="009474C9" w:rsidRPr="009474C9" w:rsidRDefault="009474C9" w:rsidP="009474C9">
      <w:pPr>
        <w:pStyle w:val="NoSpacing"/>
        <w:jc w:val="both"/>
        <w:rPr>
          <w:rFonts w:ascii="Times New Roman" w:hAnsi="Times New Roman" w:cs="Times New Roman"/>
        </w:rPr>
      </w:pPr>
    </w:p>
    <w:p w14:paraId="11B659A6" w14:textId="3E347B56" w:rsidR="009474C9" w:rsidRPr="009474C9" w:rsidRDefault="009474C9" w:rsidP="009474C9">
      <w:pPr>
        <w:pStyle w:val="NoSpacing"/>
        <w:ind w:firstLine="450"/>
        <w:jc w:val="both"/>
        <w:rPr>
          <w:rFonts w:ascii="Times New Roman" w:hAnsi="Times New Roman" w:cs="Times New Roman"/>
        </w:rPr>
      </w:pPr>
      <w:r w:rsidRPr="009474C9">
        <w:rPr>
          <w:rFonts w:ascii="Times New Roman" w:hAnsi="Times New Roman" w:cs="Times New Roman"/>
        </w:rPr>
        <w:t>As with the value question in theft cases, see Wis JI</w:t>
      </w:r>
      <w:r w:rsidR="008E3407" w:rsidRPr="008E3407">
        <w:rPr>
          <w:rFonts w:ascii="Times New Roman" w:hAnsi="Times New Roman" w:cs="Times New Roman"/>
        </w:rPr>
        <w:t>–</w:t>
      </w:r>
      <w:r w:rsidRPr="009474C9">
        <w:rPr>
          <w:rFonts w:ascii="Times New Roman" w:hAnsi="Times New Roman" w:cs="Times New Roman"/>
        </w:rPr>
        <w:t>Criminal 1441, the Committee recommends that these factors be presented to the jury in the form of a special question. The following form is suggested for the verdict:</w:t>
      </w:r>
    </w:p>
    <w:p w14:paraId="1B99F8F8" w14:textId="77777777" w:rsidR="009474C9" w:rsidRPr="009474C9" w:rsidRDefault="009474C9" w:rsidP="009474C9">
      <w:pPr>
        <w:pStyle w:val="NoSpacing"/>
        <w:jc w:val="both"/>
        <w:rPr>
          <w:rFonts w:ascii="Times New Roman" w:hAnsi="Times New Roman" w:cs="Times New Roman"/>
        </w:rPr>
      </w:pPr>
    </w:p>
    <w:p w14:paraId="7CF0F664" w14:textId="77777777" w:rsidR="009474C9" w:rsidRPr="009474C9" w:rsidRDefault="009474C9" w:rsidP="009474C9">
      <w:pPr>
        <w:pStyle w:val="NoSpacing"/>
        <w:ind w:left="450" w:right="450"/>
        <w:jc w:val="both"/>
        <w:rPr>
          <w:rFonts w:ascii="Times New Roman" w:hAnsi="Times New Roman" w:cs="Times New Roman"/>
        </w:rPr>
      </w:pPr>
      <w:r w:rsidRPr="009474C9">
        <w:rPr>
          <w:rFonts w:ascii="Times New Roman" w:hAnsi="Times New Roman" w:cs="Times New Roman"/>
        </w:rPr>
        <w:t>We, the jury, find the defendant guilty of theft under Wis. Stat. § 943.20, at the time and place charged in the information.</w:t>
      </w:r>
    </w:p>
    <w:p w14:paraId="4329524A" w14:textId="77777777" w:rsidR="009474C9" w:rsidRPr="009474C9" w:rsidRDefault="009474C9" w:rsidP="009474C9">
      <w:pPr>
        <w:pStyle w:val="NoSpacing"/>
        <w:ind w:left="450" w:right="450"/>
        <w:jc w:val="both"/>
        <w:rPr>
          <w:rFonts w:ascii="Times New Roman" w:hAnsi="Times New Roman" w:cs="Times New Roman"/>
        </w:rPr>
      </w:pPr>
    </w:p>
    <w:p w14:paraId="2346B362" w14:textId="77777777" w:rsidR="009474C9" w:rsidRPr="009474C9" w:rsidRDefault="009474C9" w:rsidP="009474C9">
      <w:pPr>
        <w:pStyle w:val="NoSpacing"/>
        <w:ind w:left="450" w:right="450"/>
        <w:jc w:val="both"/>
        <w:rPr>
          <w:rFonts w:ascii="Times New Roman" w:hAnsi="Times New Roman" w:cs="Times New Roman"/>
        </w:rPr>
      </w:pPr>
      <w:r w:rsidRPr="009474C9">
        <w:rPr>
          <w:rFonts w:ascii="Times New Roman" w:hAnsi="Times New Roman" w:cs="Times New Roman"/>
        </w:rPr>
        <w:t>We, the jury, find the defendant not guilty.</w:t>
      </w:r>
    </w:p>
    <w:p w14:paraId="6A5C698D" w14:textId="77777777" w:rsidR="009474C9" w:rsidRPr="009474C9" w:rsidRDefault="009474C9" w:rsidP="009474C9">
      <w:pPr>
        <w:pStyle w:val="NoSpacing"/>
        <w:ind w:left="450" w:right="450"/>
        <w:jc w:val="both"/>
        <w:rPr>
          <w:rFonts w:ascii="Times New Roman" w:hAnsi="Times New Roman" w:cs="Times New Roman"/>
        </w:rPr>
      </w:pPr>
    </w:p>
    <w:p w14:paraId="764A33D7" w14:textId="77777777" w:rsidR="009474C9" w:rsidRPr="009474C9" w:rsidRDefault="009474C9" w:rsidP="009474C9">
      <w:pPr>
        <w:pStyle w:val="NoSpacing"/>
        <w:ind w:left="450" w:right="450"/>
        <w:jc w:val="both"/>
        <w:rPr>
          <w:rFonts w:ascii="Times New Roman" w:hAnsi="Times New Roman" w:cs="Times New Roman"/>
        </w:rPr>
      </w:pPr>
      <w:r w:rsidRPr="009474C9">
        <w:rPr>
          <w:rFonts w:ascii="Times New Roman" w:hAnsi="Times New Roman" w:cs="Times New Roman"/>
        </w:rPr>
        <w:t>If you find the defendant guilty, answer the following question “yes” or “no”:</w:t>
      </w:r>
    </w:p>
    <w:p w14:paraId="17B3B558" w14:textId="77777777" w:rsidR="009474C9" w:rsidRPr="009474C9" w:rsidRDefault="009474C9" w:rsidP="009474C9">
      <w:pPr>
        <w:pStyle w:val="NoSpacing"/>
        <w:ind w:left="450" w:right="450"/>
        <w:jc w:val="both"/>
        <w:rPr>
          <w:rFonts w:ascii="Times New Roman" w:hAnsi="Times New Roman" w:cs="Times New Roman"/>
        </w:rPr>
      </w:pPr>
    </w:p>
    <w:p w14:paraId="7D18D483" w14:textId="5303AFC4" w:rsidR="0055474E" w:rsidRDefault="009474C9" w:rsidP="009474C9">
      <w:pPr>
        <w:pStyle w:val="NoSpacing"/>
        <w:ind w:left="450" w:right="450"/>
        <w:jc w:val="both"/>
        <w:rPr>
          <w:rFonts w:ascii="Times New Roman" w:hAnsi="Times New Roman" w:cs="Times New Roman"/>
        </w:rPr>
      </w:pPr>
      <w:r w:rsidRPr="009474C9">
        <w:rPr>
          <w:rFonts w:ascii="Times New Roman" w:hAnsi="Times New Roman" w:cs="Times New Roman"/>
        </w:rPr>
        <w:t>“Was the property taken (repeat the essential facts in the question)?”</w:t>
      </w:r>
    </w:p>
    <w:p w14:paraId="4F7AC73F" w14:textId="77777777" w:rsidR="00373EAC" w:rsidRPr="009474C9" w:rsidRDefault="00373EAC" w:rsidP="009474C9">
      <w:pPr>
        <w:pStyle w:val="NoSpacing"/>
        <w:ind w:left="450" w:right="450"/>
        <w:jc w:val="both"/>
        <w:rPr>
          <w:rFonts w:ascii="Times New Roman" w:hAnsi="Times New Roman" w:cs="Times New Roman"/>
        </w:rPr>
      </w:pPr>
    </w:p>
    <w:sectPr w:rsidR="00373EAC" w:rsidRPr="009474C9">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B6991" w14:textId="77777777" w:rsidR="009474C9" w:rsidRDefault="009474C9" w:rsidP="009474C9">
      <w:pPr>
        <w:spacing w:after="0" w:line="240" w:lineRule="auto"/>
      </w:pPr>
      <w:r>
        <w:separator/>
      </w:r>
    </w:p>
  </w:endnote>
  <w:endnote w:type="continuationSeparator" w:id="0">
    <w:p w14:paraId="64947968" w14:textId="77777777" w:rsidR="009474C9" w:rsidRDefault="009474C9" w:rsidP="009474C9">
      <w:pPr>
        <w:spacing w:after="0" w:line="240" w:lineRule="auto"/>
      </w:pPr>
      <w:r>
        <w:continuationSeparator/>
      </w:r>
    </w:p>
  </w:endnote>
  <w:endnote w:id="1">
    <w:p w14:paraId="2CF5168F" w14:textId="7E6C74FF" w:rsidR="009474C9" w:rsidRDefault="009474C9" w:rsidP="009474C9">
      <w:pPr>
        <w:pStyle w:val="NoSpacing"/>
        <w:tabs>
          <w:tab w:val="left" w:pos="900"/>
        </w:tabs>
        <w:ind w:firstLine="450"/>
        <w:jc w:val="both"/>
        <w:rPr>
          <w:rFonts w:ascii="Times New Roman" w:hAnsi="Times New Roman" w:cs="Times New Roman"/>
        </w:rPr>
      </w:pPr>
      <w:r w:rsidRPr="009474C9">
        <w:rPr>
          <w:rFonts w:ascii="Times New Roman" w:hAnsi="Times New Roman" w:cs="Times New Roman"/>
        </w:rPr>
        <w:endnoteRef/>
      </w:r>
      <w:r w:rsidRPr="009474C9">
        <w:rPr>
          <w:rFonts w:ascii="Times New Roman" w:hAnsi="Times New Roman" w:cs="Times New Roman"/>
        </w:rPr>
        <w:t xml:space="preserve">. </w:t>
      </w:r>
      <w:r w:rsidR="006911FE">
        <w:rPr>
          <w:rFonts w:ascii="Times New Roman" w:hAnsi="Times New Roman" w:cs="Times New Roman"/>
        </w:rPr>
        <w:tab/>
      </w:r>
      <w:r w:rsidRPr="009474C9">
        <w:rPr>
          <w:rFonts w:ascii="Times New Roman" w:hAnsi="Times New Roman" w:cs="Times New Roman"/>
        </w:rPr>
        <w:t>This is the factor in subdiv. 1. of § 943.20(3)(d). “Domestic animal” is defined as follows for the purposes of Chapter 174: “‘Domestic animal’ includes livestock, dogs, and cats.” § 174.001(2g).</w:t>
      </w:r>
    </w:p>
    <w:p w14:paraId="4A492AB7" w14:textId="77777777" w:rsidR="00827C54" w:rsidRPr="009474C9" w:rsidRDefault="00827C54" w:rsidP="009474C9">
      <w:pPr>
        <w:pStyle w:val="NoSpacing"/>
        <w:tabs>
          <w:tab w:val="left" w:pos="900"/>
        </w:tabs>
        <w:ind w:firstLine="450"/>
        <w:jc w:val="both"/>
        <w:rPr>
          <w:rFonts w:ascii="Times New Roman" w:hAnsi="Times New Roman" w:cs="Times New Roman"/>
        </w:rPr>
      </w:pPr>
    </w:p>
  </w:endnote>
  <w:endnote w:id="2">
    <w:p w14:paraId="683A3958" w14:textId="5275C91E"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endnoteRef/>
      </w:r>
      <w:r w:rsidRPr="00827C54">
        <w:rPr>
          <w:rFonts w:ascii="Times New Roman" w:hAnsi="Times New Roman" w:cs="Times New Roman"/>
        </w:rPr>
        <w:t xml:space="preserve">. </w:t>
      </w:r>
      <w:r>
        <w:rPr>
          <w:rFonts w:ascii="Times New Roman" w:hAnsi="Times New Roman" w:cs="Times New Roman"/>
        </w:rPr>
        <w:tab/>
      </w:r>
      <w:r w:rsidRPr="00827C54">
        <w:rPr>
          <w:rFonts w:ascii="Times New Roman" w:hAnsi="Times New Roman" w:cs="Times New Roman"/>
        </w:rPr>
        <w:t>This is the factor set forth in subdiv. 3. of § 943.20(3)(d).</w:t>
      </w:r>
    </w:p>
    <w:p w14:paraId="0BB17318" w14:textId="77777777" w:rsidR="00827C54" w:rsidRPr="00827C54" w:rsidRDefault="00827C54" w:rsidP="00827C54">
      <w:pPr>
        <w:pStyle w:val="NoSpacing"/>
        <w:tabs>
          <w:tab w:val="left" w:pos="900"/>
        </w:tabs>
        <w:ind w:firstLine="450"/>
        <w:jc w:val="both"/>
        <w:rPr>
          <w:rFonts w:ascii="Times New Roman" w:hAnsi="Times New Roman" w:cs="Times New Roman"/>
        </w:rPr>
      </w:pPr>
    </w:p>
  </w:endnote>
  <w:endnote w:id="3">
    <w:p w14:paraId="31CDF57E" w14:textId="6C9C0214"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endnoteRef/>
      </w:r>
      <w:r w:rsidRPr="00827C54">
        <w:rPr>
          <w:rFonts w:ascii="Times New Roman" w:hAnsi="Times New Roman" w:cs="Times New Roman"/>
        </w:rPr>
        <w:t xml:space="preserve">. </w:t>
      </w:r>
      <w:r>
        <w:rPr>
          <w:rFonts w:ascii="Times New Roman" w:hAnsi="Times New Roman" w:cs="Times New Roman"/>
        </w:rPr>
        <w:tab/>
      </w:r>
      <w:r w:rsidRPr="00827C54">
        <w:rPr>
          <w:rFonts w:ascii="Times New Roman" w:hAnsi="Times New Roman" w:cs="Times New Roman"/>
        </w:rPr>
        <w:t>This is the factor set forth in subdiv. 4. of § 943.20(3)(d).</w:t>
      </w:r>
    </w:p>
    <w:p w14:paraId="5BB2921B" w14:textId="77777777" w:rsidR="00827C54" w:rsidRPr="00827C54" w:rsidRDefault="00827C54" w:rsidP="00827C54">
      <w:pPr>
        <w:pStyle w:val="NoSpacing"/>
        <w:tabs>
          <w:tab w:val="left" w:pos="900"/>
        </w:tabs>
        <w:ind w:firstLine="450"/>
        <w:jc w:val="both"/>
        <w:rPr>
          <w:rFonts w:ascii="Times New Roman" w:hAnsi="Times New Roman" w:cs="Times New Roman"/>
        </w:rPr>
      </w:pPr>
    </w:p>
  </w:endnote>
  <w:endnote w:id="4">
    <w:p w14:paraId="7D6836D1" w14:textId="0EEDC379"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endnoteRef/>
      </w:r>
      <w:r w:rsidRPr="00827C54">
        <w:rPr>
          <w:rFonts w:ascii="Times New Roman" w:hAnsi="Times New Roman" w:cs="Times New Roman"/>
        </w:rPr>
        <w:t xml:space="preserve">. </w:t>
      </w:r>
      <w:r>
        <w:rPr>
          <w:rFonts w:ascii="Times New Roman" w:hAnsi="Times New Roman" w:cs="Times New Roman"/>
        </w:rPr>
        <w:tab/>
      </w:r>
      <w:r w:rsidRPr="00827C54">
        <w:rPr>
          <w:rFonts w:ascii="Times New Roman" w:hAnsi="Times New Roman" w:cs="Times New Roman"/>
        </w:rPr>
        <w:t xml:space="preserve">This is the factor in subdiv. 5. of § 943.20(3)(d). The definition of “firearm” in the next sentence is the standard one used in the uniform instructions. It is based on </w:t>
      </w:r>
      <w:r w:rsidRPr="004B0988">
        <w:rPr>
          <w:rFonts w:ascii="Times New Roman" w:hAnsi="Times New Roman" w:cs="Times New Roman"/>
          <w:u w:val="single"/>
        </w:rPr>
        <w:t>Harris v. Cameron</w:t>
      </w:r>
      <w:r w:rsidRPr="00827C54">
        <w:rPr>
          <w:rFonts w:ascii="Times New Roman" w:hAnsi="Times New Roman" w:cs="Times New Roman"/>
        </w:rPr>
        <w:t>, 81 Wis. 239, 51 N.W. 437 (1892).</w:t>
      </w:r>
    </w:p>
    <w:p w14:paraId="6BBF3B1B" w14:textId="77777777" w:rsidR="00827C54" w:rsidRPr="00827C54" w:rsidRDefault="00827C54" w:rsidP="00827C54">
      <w:pPr>
        <w:pStyle w:val="NoSpacing"/>
        <w:tabs>
          <w:tab w:val="left" w:pos="900"/>
        </w:tabs>
        <w:ind w:firstLine="450"/>
        <w:jc w:val="both"/>
        <w:rPr>
          <w:rFonts w:ascii="Times New Roman" w:hAnsi="Times New Roman" w:cs="Times New Roman"/>
        </w:rPr>
      </w:pPr>
    </w:p>
  </w:endnote>
  <w:endnote w:id="5">
    <w:p w14:paraId="5EA9A850" w14:textId="7D36DA83" w:rsidR="00827C54" w:rsidRDefault="00827C54" w:rsidP="008E3407">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endnoteRef/>
      </w:r>
      <w:r w:rsidRPr="00827C54">
        <w:rPr>
          <w:rFonts w:ascii="Times New Roman" w:hAnsi="Times New Roman" w:cs="Times New Roman"/>
        </w:rPr>
        <w:t xml:space="preserve">. </w:t>
      </w:r>
      <w:r>
        <w:rPr>
          <w:rFonts w:ascii="Times New Roman" w:hAnsi="Times New Roman" w:cs="Times New Roman"/>
        </w:rPr>
        <w:tab/>
      </w:r>
      <w:r w:rsidRPr="00827C54">
        <w:rPr>
          <w:rFonts w:ascii="Times New Roman" w:hAnsi="Times New Roman" w:cs="Times New Roman"/>
        </w:rPr>
        <w:t>These are the factors set forth in subdiv. 6. of § 943.20(3)(d). The facilities “under s. 940.295(2)” include a variety of facilities, most of which involve providing health care or related services. See note 1, Wis JI</w:t>
      </w:r>
      <w:r w:rsidR="004B0988">
        <w:rPr>
          <w:rFonts w:ascii="Times New Roman" w:hAnsi="Times New Roman" w:cs="Times New Roman"/>
        </w:rPr>
        <w:t>–</w:t>
      </w:r>
      <w:r w:rsidRPr="00827C54">
        <w:rPr>
          <w:rFonts w:ascii="Times New Roman" w:hAnsi="Times New Roman" w:cs="Times New Roman"/>
        </w:rPr>
        <w:t>Criminal 1271.</w:t>
      </w:r>
      <w:r w:rsidR="00B76D67">
        <w:rPr>
          <w:rFonts w:ascii="Times New Roman" w:hAnsi="Times New Roman" w:cs="Times New Roman"/>
        </w:rPr>
        <w:t xml:space="preserve"> </w:t>
      </w:r>
      <w:r w:rsidRPr="00827C54">
        <w:rPr>
          <w:rFonts w:ascii="Times New Roman" w:hAnsi="Times New Roman" w:cs="Times New Roman"/>
        </w:rPr>
        <w:t>2005 Wisconsin Act 388 changed the reference to “individual at risk” from “vulnerable adult.”  “Individual at risk” is defined as follows in §</w:t>
      </w:r>
      <w:r w:rsidR="00C84289">
        <w:rPr>
          <w:rFonts w:ascii="Times New Roman" w:hAnsi="Times New Roman" w:cs="Times New Roman"/>
        </w:rPr>
        <w:t xml:space="preserve"> </w:t>
      </w:r>
      <w:r w:rsidR="008E3407" w:rsidRPr="008E3407">
        <w:rPr>
          <w:rFonts w:ascii="Times New Roman" w:hAnsi="Times New Roman" w:cs="Times New Roman"/>
        </w:rPr>
        <w:t>943.20(2)(ae)</w:t>
      </w:r>
      <w:r w:rsidRPr="00827C54">
        <w:rPr>
          <w:rFonts w:ascii="Times New Roman" w:hAnsi="Times New Roman" w:cs="Times New Roman"/>
        </w:rPr>
        <w:t>:</w:t>
      </w:r>
      <w:r w:rsidR="008E3407">
        <w:rPr>
          <w:rFonts w:ascii="Times New Roman" w:hAnsi="Times New Roman" w:cs="Times New Roman"/>
        </w:rPr>
        <w:t xml:space="preserve"> </w:t>
      </w:r>
      <w:r w:rsidRPr="00827C54">
        <w:rPr>
          <w:rFonts w:ascii="Times New Roman" w:hAnsi="Times New Roman" w:cs="Times New Roman"/>
        </w:rPr>
        <w:t>“‘Individual at risk’ means an elder adult at risk or an adult at risk.” Section 943.20(2)(a</w:t>
      </w:r>
      <w:r w:rsidR="00C84289">
        <w:rPr>
          <w:rFonts w:ascii="Times New Roman" w:hAnsi="Times New Roman" w:cs="Times New Roman"/>
        </w:rPr>
        <w:t>c</w:t>
      </w:r>
      <w:r w:rsidRPr="00827C54">
        <w:rPr>
          <w:rFonts w:ascii="Times New Roman" w:hAnsi="Times New Roman" w:cs="Times New Roman"/>
        </w:rPr>
        <w:t>) provides that “‘Adult at risk’ has the meaning given in s. 55.01(1e).” Section 943.20(2)(ad) provides that “‘Elder adult at risk’ has the meaning provided in s. 46.90(1)(br).” Definitions based on those cross references, which also apply to violations of § 940.285, are provided in Wis JI</w:t>
      </w:r>
      <w:r w:rsidR="004B0988">
        <w:rPr>
          <w:rFonts w:ascii="Times New Roman" w:hAnsi="Times New Roman" w:cs="Times New Roman"/>
        </w:rPr>
        <w:t>–</w:t>
      </w:r>
      <w:r w:rsidRPr="00827C54">
        <w:rPr>
          <w:rFonts w:ascii="Times New Roman" w:hAnsi="Times New Roman" w:cs="Times New Roman"/>
        </w:rPr>
        <w:t>Criminal 1268.</w:t>
      </w:r>
    </w:p>
    <w:p w14:paraId="08CF04AC" w14:textId="77777777" w:rsidR="00827C54" w:rsidRPr="00827C54" w:rsidRDefault="00827C54" w:rsidP="00827C54">
      <w:pPr>
        <w:pStyle w:val="NoSpacing"/>
        <w:tabs>
          <w:tab w:val="left" w:pos="900"/>
        </w:tabs>
        <w:ind w:firstLine="450"/>
        <w:jc w:val="both"/>
        <w:rPr>
          <w:rFonts w:ascii="Times New Roman" w:hAnsi="Times New Roman" w:cs="Times New Roman"/>
        </w:rPr>
      </w:pPr>
    </w:p>
  </w:endnote>
  <w:endnote w:id="6">
    <w:p w14:paraId="64AC6A53" w14:textId="32F4D2EC" w:rsidR="00827C54" w:rsidRP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endnoteRef/>
      </w:r>
      <w:r w:rsidRPr="00827C54">
        <w:rPr>
          <w:rFonts w:ascii="Times New Roman" w:hAnsi="Times New Roman" w:cs="Times New Roman"/>
        </w:rPr>
        <w:t xml:space="preserve">. </w:t>
      </w:r>
      <w:r>
        <w:rPr>
          <w:rFonts w:ascii="Times New Roman" w:hAnsi="Times New Roman" w:cs="Times New Roman"/>
        </w:rPr>
        <w:tab/>
      </w:r>
      <w:r w:rsidRPr="00827C54">
        <w:rPr>
          <w:rFonts w:ascii="Times New Roman" w:hAnsi="Times New Roman" w:cs="Times New Roman"/>
        </w:rPr>
        <w:t>These are the factors in § 943.20(3)(e). The explication of “from the person” in the next sentence is what was formerly provided in Wis JI</w:t>
      </w:r>
      <w:r w:rsidR="008E3407" w:rsidRPr="008E3407">
        <w:rPr>
          <w:rFonts w:ascii="Times New Roman" w:hAnsi="Times New Roman" w:cs="Times New Roman"/>
        </w:rPr>
        <w:t>–</w:t>
      </w:r>
      <w:r w:rsidRPr="00827C54">
        <w:rPr>
          <w:rFonts w:ascii="Times New Roman" w:hAnsi="Times New Roman" w:cs="Times New Roman"/>
        </w:rPr>
        <w:t xml:space="preserve">Criminal 1442, Theft From Person. In </w:t>
      </w:r>
      <w:r w:rsidRPr="004B0988">
        <w:rPr>
          <w:rFonts w:ascii="Times New Roman" w:hAnsi="Times New Roman" w:cs="Times New Roman"/>
          <w:u w:val="single"/>
        </w:rPr>
        <w:t>State v. Hughes</w:t>
      </w:r>
      <w:r w:rsidRPr="00827C54">
        <w:rPr>
          <w:rFonts w:ascii="Times New Roman" w:hAnsi="Times New Roman" w:cs="Times New Roman"/>
        </w:rPr>
        <w:t>, 218 Wis.</w:t>
      </w:r>
      <w:r w:rsidR="002C4E44">
        <w:rPr>
          <w:rFonts w:ascii="Times New Roman" w:hAnsi="Times New Roman" w:cs="Times New Roman"/>
        </w:rPr>
        <w:t xml:space="preserve"> </w:t>
      </w:r>
      <w:r w:rsidRPr="00827C54">
        <w:rPr>
          <w:rFonts w:ascii="Times New Roman" w:hAnsi="Times New Roman" w:cs="Times New Roman"/>
        </w:rPr>
        <w:t>2d 538, 548, 582 N.W.2d 49 (Ct. App. 1998), the court concluded that “theft ‘from the person’ encompasses the taking of property from the wheelchair of one sitting in the wheelchair at the time of the taking.” Hughes did not state a generally applicable definition of “from the person” and expressly provided that the court “refrain[ed] from embracing either a narrow or broad standard that would necessarily apply to other factual situations.” 218 Wis.</w:t>
      </w:r>
      <w:r w:rsidR="002C4E44">
        <w:rPr>
          <w:rFonts w:ascii="Times New Roman" w:hAnsi="Times New Roman" w:cs="Times New Roman"/>
        </w:rPr>
        <w:t xml:space="preserve"> </w:t>
      </w:r>
      <w:r w:rsidRPr="00827C54">
        <w:rPr>
          <w:rFonts w:ascii="Times New Roman" w:hAnsi="Times New Roman" w:cs="Times New Roman"/>
        </w:rPr>
        <w:t xml:space="preserve">2d 538, 548, note 10. Also see, </w:t>
      </w:r>
      <w:r w:rsidRPr="004B0988">
        <w:rPr>
          <w:rFonts w:ascii="Times New Roman" w:hAnsi="Times New Roman" w:cs="Times New Roman"/>
          <w:u w:val="single"/>
        </w:rPr>
        <w:t>State v. Graham</w:t>
      </w:r>
      <w:r w:rsidRPr="00827C54">
        <w:rPr>
          <w:rFonts w:ascii="Times New Roman" w:hAnsi="Times New Roman" w:cs="Times New Roman"/>
        </w:rPr>
        <w:t>, 2000 WI App 138, 237 Wis.</w:t>
      </w:r>
      <w:r w:rsidR="002C4E44">
        <w:rPr>
          <w:rFonts w:ascii="Times New Roman" w:hAnsi="Times New Roman" w:cs="Times New Roman"/>
        </w:rPr>
        <w:t xml:space="preserve"> </w:t>
      </w:r>
      <w:r w:rsidRPr="00827C54">
        <w:rPr>
          <w:rFonts w:ascii="Times New Roman" w:hAnsi="Times New Roman" w:cs="Times New Roman"/>
        </w:rPr>
        <w:t xml:space="preserve">2d 620, 614 N.W.2d 504, finding the evidence sufficient to prove “theft from person”; and </w:t>
      </w:r>
      <w:r w:rsidRPr="004B0988">
        <w:rPr>
          <w:rFonts w:ascii="Times New Roman" w:hAnsi="Times New Roman" w:cs="Times New Roman"/>
          <w:u w:val="single"/>
        </w:rPr>
        <w:t>State v. Tidwell</w:t>
      </w:r>
      <w:r w:rsidRPr="00827C54">
        <w:rPr>
          <w:rFonts w:ascii="Times New Roman" w:hAnsi="Times New Roman" w:cs="Times New Roman"/>
        </w:rPr>
        <w:t>, 2009 WI App 153, 321 Wis.</w:t>
      </w:r>
      <w:r w:rsidR="002C4E44">
        <w:rPr>
          <w:rFonts w:ascii="Times New Roman" w:hAnsi="Times New Roman" w:cs="Times New Roman"/>
        </w:rPr>
        <w:t xml:space="preserve"> </w:t>
      </w:r>
      <w:r w:rsidRPr="00827C54">
        <w:rPr>
          <w:rFonts w:ascii="Times New Roman" w:hAnsi="Times New Roman" w:cs="Times New Roman"/>
        </w:rPr>
        <w:t>2d 596, 774 N.W.2d 650, finding the evidence sufficient to prove “attempted theft from person.”</w:t>
      </w:r>
    </w:p>
    <w:p w14:paraId="4577D655" w14:textId="77777777" w:rsidR="00827C54" w:rsidRPr="00827C54" w:rsidRDefault="00827C54" w:rsidP="00827C54">
      <w:pPr>
        <w:pStyle w:val="NoSpacing"/>
        <w:tabs>
          <w:tab w:val="left" w:pos="900"/>
        </w:tabs>
        <w:ind w:firstLine="450"/>
        <w:jc w:val="both"/>
        <w:rPr>
          <w:rFonts w:ascii="Times New Roman" w:hAnsi="Times New Roman" w:cs="Times New Roman"/>
        </w:rPr>
      </w:pPr>
    </w:p>
    <w:p w14:paraId="73A5F9F5" w14:textId="0F36E291"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t>“‘Corpse’ means the dead body of a human being.”</w:t>
      </w:r>
      <w:r w:rsidR="00B76D67">
        <w:rPr>
          <w:rFonts w:ascii="Times New Roman" w:hAnsi="Times New Roman" w:cs="Times New Roman"/>
        </w:rPr>
        <w:t xml:space="preserve"> </w:t>
      </w:r>
      <w:r w:rsidRPr="004B0988">
        <w:rPr>
          <w:rFonts w:ascii="Times New Roman" w:hAnsi="Times New Roman" w:cs="Times New Roman"/>
          <w:u w:val="single"/>
        </w:rPr>
        <w:t>American Heritage Dictionary of the English Language</w:t>
      </w:r>
      <w:r w:rsidRPr="00827C54">
        <w:rPr>
          <w:rFonts w:ascii="Times New Roman" w:hAnsi="Times New Roman" w:cs="Times New Roman"/>
        </w:rPr>
        <w:t>, 3rd Edition, 1992.</w:t>
      </w:r>
    </w:p>
    <w:p w14:paraId="0CFD8F4F" w14:textId="77777777" w:rsidR="00827C54" w:rsidRPr="00827C54" w:rsidRDefault="00827C54" w:rsidP="00827C54">
      <w:pPr>
        <w:pStyle w:val="NoSpacing"/>
        <w:tabs>
          <w:tab w:val="left" w:pos="900"/>
        </w:tabs>
        <w:ind w:firstLine="450"/>
        <w:jc w:val="both"/>
        <w:rPr>
          <w:rFonts w:ascii="Times New Roman" w:hAnsi="Times New Roman" w:cs="Times New Roman"/>
        </w:rPr>
      </w:pPr>
    </w:p>
  </w:endnote>
  <w:endnote w:id="7">
    <w:p w14:paraId="645AB947" w14:textId="27899576"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endnoteRef/>
      </w:r>
      <w:r w:rsidRPr="00827C54">
        <w:rPr>
          <w:rFonts w:ascii="Times New Roman" w:hAnsi="Times New Roman" w:cs="Times New Roman"/>
        </w:rPr>
        <w:t xml:space="preserve">. </w:t>
      </w:r>
      <w:r w:rsidR="004B0988">
        <w:rPr>
          <w:rFonts w:ascii="Times New Roman" w:hAnsi="Times New Roman" w:cs="Times New Roman"/>
        </w:rPr>
        <w:tab/>
      </w:r>
      <w:r w:rsidRPr="00827C54">
        <w:rPr>
          <w:rFonts w:ascii="Times New Roman" w:hAnsi="Times New Roman" w:cs="Times New Roman"/>
        </w:rPr>
        <w:t xml:space="preserve">In </w:t>
      </w:r>
      <w:r w:rsidRPr="00827C54">
        <w:rPr>
          <w:rFonts w:ascii="Times New Roman" w:hAnsi="Times New Roman" w:cs="Times New Roman"/>
          <w:u w:val="single"/>
        </w:rPr>
        <w:t>State v. Tidwell</w:t>
      </w:r>
      <w:r w:rsidRPr="00827C54">
        <w:rPr>
          <w:rFonts w:ascii="Times New Roman" w:hAnsi="Times New Roman" w:cs="Times New Roman"/>
        </w:rPr>
        <w:t xml:space="preserve">, </w:t>
      </w:r>
      <w:r w:rsidR="002C4E44" w:rsidRPr="002C4E44">
        <w:rPr>
          <w:rFonts w:ascii="Times New Roman" w:hAnsi="Times New Roman" w:cs="Times New Roman"/>
        </w:rPr>
        <w:t>2009 WI App 153</w:t>
      </w:r>
      <w:r w:rsidR="002C4E44">
        <w:rPr>
          <w:rFonts w:ascii="Times New Roman" w:hAnsi="Times New Roman" w:cs="Times New Roman"/>
        </w:rPr>
        <w:t xml:space="preserve">, </w:t>
      </w:r>
      <w:r w:rsidRPr="00827C54">
        <w:rPr>
          <w:rFonts w:ascii="Times New Roman" w:hAnsi="Times New Roman" w:cs="Times New Roman"/>
        </w:rPr>
        <w:t>321 Wis.</w:t>
      </w:r>
      <w:r w:rsidR="002C4E44">
        <w:rPr>
          <w:rFonts w:ascii="Times New Roman" w:hAnsi="Times New Roman" w:cs="Times New Roman"/>
        </w:rPr>
        <w:t xml:space="preserve"> </w:t>
      </w:r>
      <w:r w:rsidRPr="00827C54">
        <w:rPr>
          <w:rFonts w:ascii="Times New Roman" w:hAnsi="Times New Roman" w:cs="Times New Roman"/>
        </w:rPr>
        <w:t>2d 596, 774 N.W.2d 650, the defendant argued that the evidence was insufficient to find him guilty on the charge of attempted theft from a person as the property he attempted to steal, a cash register on a counter, was not connected in any way to the victim’s person. After reviewing the legislative history of § 943.20(3)</w:t>
      </w:r>
      <w:r w:rsidR="000A16D6">
        <w:rPr>
          <w:rFonts w:ascii="Times New Roman" w:hAnsi="Times New Roman" w:cs="Times New Roman"/>
        </w:rPr>
        <w:t>,</w:t>
      </w:r>
      <w:r w:rsidRPr="00827C54">
        <w:rPr>
          <w:rFonts w:ascii="Times New Roman" w:hAnsi="Times New Roman" w:cs="Times New Roman"/>
        </w:rPr>
        <w:t xml:space="preserve"> the court of appeals disagreed and concluded that the intent of the “from the person” penalty enhancer was to “cove[r] circumstances which made stealing particularly dangerous and undesirable.” It was the victim’s constructive possession of the property which made the attempted theft particularly dangerous and undesirable. </w:t>
      </w:r>
      <w:r w:rsidRPr="004B0988">
        <w:rPr>
          <w:rFonts w:ascii="Times New Roman" w:hAnsi="Times New Roman" w:cs="Times New Roman"/>
          <w:u w:val="single"/>
        </w:rPr>
        <w:t>Id</w:t>
      </w:r>
      <w:r w:rsidRPr="00827C54">
        <w:rPr>
          <w:rFonts w:ascii="Times New Roman" w:hAnsi="Times New Roman" w:cs="Times New Roman"/>
        </w:rPr>
        <w:t>. at ¶¶8-12.</w:t>
      </w:r>
    </w:p>
    <w:p w14:paraId="10B068A1" w14:textId="77777777" w:rsidR="004B0988" w:rsidRPr="00827C54" w:rsidRDefault="004B0988" w:rsidP="00827C54">
      <w:pPr>
        <w:pStyle w:val="NoSpacing"/>
        <w:tabs>
          <w:tab w:val="left" w:pos="900"/>
        </w:tabs>
        <w:ind w:firstLine="450"/>
        <w:jc w:val="both"/>
        <w:rPr>
          <w:rFonts w:ascii="Times New Roman" w:hAnsi="Times New Roman" w:cs="Times New Roman"/>
        </w:rPr>
      </w:pPr>
    </w:p>
    <w:p w14:paraId="0782D51A" w14:textId="5AAAA82D"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t>The Committee concluded that acts of theft in which the victim has immediate control over the property in question fall into the category of particularly dangerous and undesirable circumstances, and therefore constitutes theft from a person.</w:t>
      </w:r>
    </w:p>
    <w:p w14:paraId="6002AF52" w14:textId="77777777" w:rsidR="004B0988" w:rsidRPr="00827C54" w:rsidRDefault="004B0988" w:rsidP="00827C54">
      <w:pPr>
        <w:pStyle w:val="NoSpacing"/>
        <w:tabs>
          <w:tab w:val="left" w:pos="900"/>
        </w:tabs>
        <w:ind w:firstLine="450"/>
        <w:jc w:val="both"/>
        <w:rPr>
          <w:rFonts w:ascii="Times New Roman" w:hAnsi="Times New Roman" w:cs="Times New Roman"/>
        </w:rPr>
      </w:pPr>
    </w:p>
    <w:p w14:paraId="58F0A6D0" w14:textId="620CC8FC"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t>See JI 920 Possession.</w:t>
      </w:r>
    </w:p>
    <w:p w14:paraId="1F87507A" w14:textId="77777777" w:rsidR="004B0988" w:rsidRPr="00827C54" w:rsidRDefault="004B0988" w:rsidP="00827C54">
      <w:pPr>
        <w:pStyle w:val="NoSpacing"/>
        <w:tabs>
          <w:tab w:val="left" w:pos="900"/>
        </w:tabs>
        <w:ind w:firstLine="450"/>
        <w:jc w:val="both"/>
        <w:rPr>
          <w:rFonts w:ascii="Times New Roman" w:hAnsi="Times New Roman" w:cs="Times New Roman"/>
        </w:rPr>
      </w:pPr>
    </w:p>
  </w:endnote>
  <w:endnote w:id="8">
    <w:p w14:paraId="3F53C7D4" w14:textId="467096AF"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endnoteRef/>
      </w:r>
      <w:r w:rsidRPr="00827C54">
        <w:rPr>
          <w:rFonts w:ascii="Times New Roman" w:hAnsi="Times New Roman" w:cs="Times New Roman"/>
        </w:rPr>
        <w:t xml:space="preserve">. </w:t>
      </w:r>
      <w:r w:rsidR="004B0988">
        <w:rPr>
          <w:rFonts w:ascii="Times New Roman" w:hAnsi="Times New Roman" w:cs="Times New Roman"/>
        </w:rPr>
        <w:tab/>
      </w:r>
      <w:r w:rsidRPr="00827C54">
        <w:rPr>
          <w:rFonts w:ascii="Times New Roman" w:hAnsi="Times New Roman" w:cs="Times New Roman"/>
        </w:rPr>
        <w:t>Wis. Stat. § 978.001(2) defines “prosecutorial unit” by reference to Wis. Stat. § 978.01(1).</w:t>
      </w:r>
      <w:r w:rsidR="00B76D67">
        <w:rPr>
          <w:rFonts w:ascii="Times New Roman" w:hAnsi="Times New Roman" w:cs="Times New Roman"/>
        </w:rPr>
        <w:t xml:space="preserve"> </w:t>
      </w:r>
      <w:r w:rsidRPr="00827C54">
        <w:rPr>
          <w:rFonts w:ascii="Times New Roman" w:hAnsi="Times New Roman" w:cs="Times New Roman"/>
        </w:rPr>
        <w:t>Section 978.01(1) provides that each county constitutes a prosecutorial unit and elects its own district attorney, except that Shawano and Menominee Counties together form a single two-county prosecutorial unit and elect one district attorney by their combined electorate.</w:t>
      </w:r>
    </w:p>
    <w:p w14:paraId="5EBE4C8B" w14:textId="77777777" w:rsidR="004B0988" w:rsidRPr="00827C54" w:rsidRDefault="004B0988" w:rsidP="00827C54">
      <w:pPr>
        <w:pStyle w:val="NoSpacing"/>
        <w:tabs>
          <w:tab w:val="left" w:pos="900"/>
        </w:tabs>
        <w:ind w:firstLine="450"/>
        <w:jc w:val="both"/>
        <w:rPr>
          <w:rFonts w:ascii="Times New Roman" w:hAnsi="Times New Roman" w:cs="Times New Roman"/>
        </w:rPr>
      </w:pPr>
    </w:p>
  </w:endnote>
  <w:endnote w:id="9">
    <w:p w14:paraId="3513B837" w14:textId="1D6F53BB"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endnoteRef/>
      </w:r>
      <w:r w:rsidRPr="00827C54">
        <w:rPr>
          <w:rFonts w:ascii="Times New Roman" w:hAnsi="Times New Roman" w:cs="Times New Roman"/>
        </w:rPr>
        <w:t xml:space="preserve">. </w:t>
      </w:r>
      <w:r w:rsidR="004B0988">
        <w:rPr>
          <w:rFonts w:ascii="Times New Roman" w:hAnsi="Times New Roman" w:cs="Times New Roman"/>
        </w:rPr>
        <w:tab/>
      </w:r>
      <w:r w:rsidRPr="00827C54">
        <w:rPr>
          <w:rFonts w:ascii="Times New Roman" w:hAnsi="Times New Roman" w:cs="Times New Roman"/>
        </w:rPr>
        <w:t>Wisconsin’s theft aggregation framework operates through two distinct but complementary statutory mechanisms. Section 943.20(5) serves as a valuation tool, allowing the State to combine the dollar amounts of multiple thefts committed by the same person during a course of conduct within the same prosecutorial unit for the limited purpose of reaching a higher penalty tier under § 943.20(3).</w:t>
      </w:r>
      <w:r w:rsidR="00B76D67">
        <w:rPr>
          <w:rFonts w:ascii="Times New Roman" w:hAnsi="Times New Roman" w:cs="Times New Roman"/>
        </w:rPr>
        <w:t xml:space="preserve"> </w:t>
      </w:r>
      <w:r w:rsidRPr="00827C54">
        <w:rPr>
          <w:rFonts w:ascii="Times New Roman" w:hAnsi="Times New Roman" w:cs="Times New Roman"/>
        </w:rPr>
        <w:t>Section 971.36(3), in contrast, serves as a procedural tool, allowing the State to charge multiple theft incidents in a single count when specified conditions are met, such as a shared victim, a single intent and design, or thefts from the same location. The two statutes are not mutually exclusive. A prosecutor may rely on § 971.36(3) to charge multiple thefts as one crime and, at the same time, rely on § 943.20(5) to aggregate their value in support of a higher-level offense.</w:t>
      </w:r>
    </w:p>
    <w:p w14:paraId="40D755C6" w14:textId="77777777" w:rsidR="004B0988" w:rsidRPr="00827C54" w:rsidRDefault="004B0988" w:rsidP="00827C54">
      <w:pPr>
        <w:pStyle w:val="NoSpacing"/>
        <w:tabs>
          <w:tab w:val="left" w:pos="900"/>
        </w:tabs>
        <w:ind w:firstLine="450"/>
        <w:jc w:val="both"/>
        <w:rPr>
          <w:rFonts w:ascii="Times New Roman" w:hAnsi="Times New Roman" w:cs="Times New Roman"/>
        </w:rPr>
      </w:pPr>
    </w:p>
  </w:endnote>
  <w:endnote w:id="10">
    <w:p w14:paraId="3681179B" w14:textId="42BE77C2" w:rsidR="00827C54" w:rsidRDefault="00827C54" w:rsidP="00827C54">
      <w:pPr>
        <w:pStyle w:val="NoSpacing"/>
        <w:tabs>
          <w:tab w:val="left" w:pos="900"/>
        </w:tabs>
        <w:ind w:firstLine="450"/>
        <w:jc w:val="both"/>
        <w:rPr>
          <w:rFonts w:ascii="Times New Roman" w:hAnsi="Times New Roman" w:cs="Times New Roman"/>
        </w:rPr>
      </w:pPr>
      <w:r w:rsidRPr="00827C54">
        <w:rPr>
          <w:rFonts w:ascii="Times New Roman" w:hAnsi="Times New Roman" w:cs="Times New Roman"/>
        </w:rPr>
        <w:endnoteRef/>
      </w:r>
      <w:r w:rsidRPr="00827C54">
        <w:rPr>
          <w:rFonts w:ascii="Times New Roman" w:hAnsi="Times New Roman" w:cs="Times New Roman"/>
        </w:rPr>
        <w:t xml:space="preserve">. </w:t>
      </w:r>
      <w:r w:rsidR="004B0988">
        <w:rPr>
          <w:rFonts w:ascii="Times New Roman" w:hAnsi="Times New Roman" w:cs="Times New Roman"/>
        </w:rPr>
        <w:tab/>
      </w:r>
      <w:r w:rsidRPr="00827C54">
        <w:rPr>
          <w:rFonts w:ascii="Times New Roman" w:hAnsi="Times New Roman" w:cs="Times New Roman"/>
        </w:rPr>
        <w:t>This is an abbreviated definition of “prosecutorial unit” as defined in Wis. Stat. § 978.001(2), by reference to Wis. Stat. § 978.01(1).</w:t>
      </w:r>
      <w:r w:rsidR="00B76D67">
        <w:rPr>
          <w:rFonts w:ascii="Times New Roman" w:hAnsi="Times New Roman" w:cs="Times New Roman"/>
        </w:rPr>
        <w:t xml:space="preserve"> </w:t>
      </w:r>
      <w:r w:rsidRPr="00827C54">
        <w:rPr>
          <w:rFonts w:ascii="Times New Roman" w:hAnsi="Times New Roman" w:cs="Times New Roman"/>
        </w:rPr>
        <w:t xml:space="preserve">Shawano and Menominee Counties are an exception because they together constitute a single, two-county prosecutorial unit. See Note </w:t>
      </w:r>
      <w:r w:rsidR="000A16D6">
        <w:rPr>
          <w:rFonts w:ascii="Times New Roman" w:hAnsi="Times New Roman" w:cs="Times New Roman"/>
        </w:rPr>
        <w:t>8</w:t>
      </w:r>
      <w:r w:rsidRPr="00827C54">
        <w:rPr>
          <w:rFonts w:ascii="Times New Roman" w:hAnsi="Times New Roman" w:cs="Times New Roman"/>
        </w:rPr>
        <w:t xml:space="preserve">, </w:t>
      </w:r>
      <w:r w:rsidRPr="004B0988">
        <w:rPr>
          <w:rFonts w:ascii="Times New Roman" w:hAnsi="Times New Roman" w:cs="Times New Roman"/>
          <w:u w:val="single"/>
        </w:rPr>
        <w:t>supra</w:t>
      </w:r>
      <w:r w:rsidRPr="00827C54">
        <w:rPr>
          <w:rFonts w:ascii="Times New Roman" w:hAnsi="Times New Roman" w:cs="Times New Roman"/>
        </w:rPr>
        <w:t>.</w:t>
      </w:r>
    </w:p>
    <w:p w14:paraId="2FF13461" w14:textId="53732E5A" w:rsidR="004B0988" w:rsidRPr="00827C54" w:rsidRDefault="004B0988" w:rsidP="00827C54">
      <w:pPr>
        <w:pStyle w:val="NoSpacing"/>
        <w:tabs>
          <w:tab w:val="left" w:pos="900"/>
        </w:tabs>
        <w:ind w:firstLine="450"/>
        <w:jc w:val="both"/>
        <w:rPr>
          <w:rFonts w:ascii="Times New Roman" w:hAnsi="Times New Roman" w:cs="Times New Roman"/>
        </w:rPr>
      </w:pPr>
      <w:r>
        <w:rPr>
          <w:rFonts w:ascii="Times New Roman" w:hAnsi="Times New Roman" w:cs="Times New Roman"/>
        </w:rPr>
        <w:tab/>
      </w:r>
    </w:p>
  </w:endnote>
  <w:endnote w:id="11">
    <w:p w14:paraId="08755B28" w14:textId="04C6069E" w:rsidR="00827C54" w:rsidRDefault="00827C54" w:rsidP="00827C54">
      <w:pPr>
        <w:pStyle w:val="NoSpacing"/>
        <w:tabs>
          <w:tab w:val="left" w:pos="900"/>
        </w:tabs>
        <w:ind w:firstLine="450"/>
        <w:jc w:val="both"/>
      </w:pPr>
      <w:r w:rsidRPr="00827C54">
        <w:rPr>
          <w:rFonts w:ascii="Times New Roman" w:hAnsi="Times New Roman" w:cs="Times New Roman"/>
        </w:rPr>
        <w:endnoteRef/>
      </w:r>
      <w:r w:rsidRPr="00827C54">
        <w:rPr>
          <w:rFonts w:ascii="Times New Roman" w:hAnsi="Times New Roman" w:cs="Times New Roman"/>
        </w:rPr>
        <w:t xml:space="preserve">. </w:t>
      </w:r>
      <w:r w:rsidR="004B0988">
        <w:rPr>
          <w:rFonts w:ascii="Times New Roman" w:hAnsi="Times New Roman" w:cs="Times New Roman"/>
        </w:rPr>
        <w:tab/>
      </w:r>
      <w:r w:rsidRPr="00827C54">
        <w:rPr>
          <w:rFonts w:ascii="Times New Roman" w:hAnsi="Times New Roman" w:cs="Times New Roman"/>
        </w:rPr>
        <w:t>This is the definition of “course of conduct” set forth in Wis. Stat. § 947.013(1)(a).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465AE" w14:textId="77777777" w:rsidR="009474C9" w:rsidRDefault="009474C9" w:rsidP="009474C9">
    <w:pPr>
      <w:pStyle w:val="Footer"/>
      <w:jc w:val="both"/>
      <w:rPr>
        <w:rFonts w:ascii="Arial" w:hAnsi="Arial" w:cs="Arial"/>
        <w:sz w:val="20"/>
        <w:szCs w:val="20"/>
      </w:rPr>
    </w:pPr>
  </w:p>
  <w:p w14:paraId="08A30CB5" w14:textId="3D3B07BB" w:rsidR="009474C9" w:rsidRPr="009474C9" w:rsidRDefault="009474C9" w:rsidP="009474C9">
    <w:pPr>
      <w:pStyle w:val="Footer"/>
      <w:jc w:val="both"/>
      <w:rPr>
        <w:rFonts w:ascii="Arial" w:hAnsi="Arial" w:cs="Arial"/>
        <w:sz w:val="20"/>
        <w:szCs w:val="20"/>
      </w:rPr>
    </w:pPr>
    <w:r w:rsidRPr="009474C9">
      <w:rPr>
        <w:rFonts w:ascii="Arial" w:hAnsi="Arial" w:cs="Arial"/>
        <w:sz w:val="20"/>
        <w:szCs w:val="20"/>
      </w:rPr>
      <w:t>Wisconsin Court System, 7/2026</w:t>
    </w:r>
    <w:r w:rsidRPr="009474C9">
      <w:rPr>
        <w:rFonts w:ascii="Arial" w:hAnsi="Arial" w:cs="Arial"/>
        <w:sz w:val="20"/>
        <w:szCs w:val="20"/>
      </w:rPr>
      <w:tab/>
    </w:r>
    <w:r w:rsidRPr="009474C9">
      <w:rPr>
        <w:rFonts w:ascii="Arial" w:hAnsi="Arial" w:cs="Arial"/>
        <w:sz w:val="20"/>
        <w:szCs w:val="20"/>
      </w:rPr>
      <w:tab/>
      <w:t>(Release No. 71)</w:t>
    </w:r>
  </w:p>
  <w:sdt>
    <w:sdtPr>
      <w:rPr>
        <w:rFonts w:ascii="Arial" w:hAnsi="Arial" w:cs="Arial"/>
        <w:sz w:val="20"/>
        <w:szCs w:val="20"/>
      </w:rPr>
      <w:id w:val="487831508"/>
      <w:docPartObj>
        <w:docPartGallery w:val="Page Numbers (Bottom of Page)"/>
        <w:docPartUnique/>
      </w:docPartObj>
    </w:sdtPr>
    <w:sdtEndPr>
      <w:rPr>
        <w:noProof/>
      </w:rPr>
    </w:sdtEndPr>
    <w:sdtContent>
      <w:p w14:paraId="11E72791" w14:textId="5A68FC47" w:rsidR="009474C9" w:rsidRPr="009474C9" w:rsidRDefault="009474C9">
        <w:pPr>
          <w:pStyle w:val="Footer"/>
          <w:jc w:val="center"/>
          <w:rPr>
            <w:rFonts w:ascii="Arial" w:hAnsi="Arial" w:cs="Arial"/>
            <w:sz w:val="20"/>
            <w:szCs w:val="20"/>
          </w:rPr>
        </w:pPr>
        <w:r w:rsidRPr="009474C9">
          <w:rPr>
            <w:rFonts w:ascii="Arial" w:hAnsi="Arial" w:cs="Arial"/>
            <w:sz w:val="20"/>
            <w:szCs w:val="20"/>
          </w:rPr>
          <w:fldChar w:fldCharType="begin"/>
        </w:r>
        <w:r w:rsidRPr="009474C9">
          <w:rPr>
            <w:rFonts w:ascii="Arial" w:hAnsi="Arial" w:cs="Arial"/>
            <w:sz w:val="20"/>
            <w:szCs w:val="20"/>
          </w:rPr>
          <w:instrText xml:space="preserve"> PAGE   \* MERGEFORMAT </w:instrText>
        </w:r>
        <w:r w:rsidRPr="009474C9">
          <w:rPr>
            <w:rFonts w:ascii="Arial" w:hAnsi="Arial" w:cs="Arial"/>
            <w:sz w:val="20"/>
            <w:szCs w:val="20"/>
          </w:rPr>
          <w:fldChar w:fldCharType="separate"/>
        </w:r>
        <w:r w:rsidRPr="009474C9">
          <w:rPr>
            <w:rFonts w:ascii="Arial" w:hAnsi="Arial" w:cs="Arial"/>
            <w:noProof/>
            <w:sz w:val="20"/>
            <w:szCs w:val="20"/>
          </w:rPr>
          <w:t>2</w:t>
        </w:r>
        <w:r w:rsidRPr="009474C9">
          <w:rPr>
            <w:rFonts w:ascii="Arial" w:hAnsi="Arial" w:cs="Arial"/>
            <w:noProof/>
            <w:sz w:val="20"/>
            <w:szCs w:val="20"/>
          </w:rPr>
          <w:fldChar w:fldCharType="end"/>
        </w:r>
      </w:p>
    </w:sdtContent>
  </w:sdt>
  <w:p w14:paraId="60A0811D" w14:textId="77777777" w:rsidR="009474C9" w:rsidRDefault="00947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A2DC0" w14:textId="77777777" w:rsidR="009474C9" w:rsidRDefault="009474C9" w:rsidP="009474C9">
      <w:pPr>
        <w:spacing w:after="0" w:line="240" w:lineRule="auto"/>
      </w:pPr>
      <w:r>
        <w:separator/>
      </w:r>
    </w:p>
  </w:footnote>
  <w:footnote w:type="continuationSeparator" w:id="0">
    <w:p w14:paraId="12DEEC86" w14:textId="77777777" w:rsidR="009474C9" w:rsidRDefault="009474C9" w:rsidP="00947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8B0F" w14:textId="77777777" w:rsidR="009474C9" w:rsidRDefault="009474C9" w:rsidP="009474C9">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094FD274" w14:textId="38F0E3B1" w:rsidR="009474C9" w:rsidRDefault="009474C9" w:rsidP="009474C9">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9474C9">
      <w:rPr>
        <w:rFonts w:ascii="Arial" w:eastAsia="Times New Roman" w:hAnsi="Arial" w:cs="Arial"/>
        <w:b/>
        <w:bCs/>
        <w:sz w:val="28"/>
        <w:szCs w:val="28"/>
      </w:rPr>
      <w:t>1441B</w:t>
    </w:r>
    <w:r w:rsidRPr="009474C9">
      <w:rPr>
        <w:rFonts w:ascii="Arial" w:eastAsia="Times New Roman" w:hAnsi="Arial" w:cs="Arial"/>
        <w:b/>
        <w:bCs/>
        <w:sz w:val="28"/>
        <w:szCs w:val="28"/>
      </w:rPr>
      <w:tab/>
      <w:t>WIS JI</w:t>
    </w:r>
    <w:r w:rsidRPr="009474C9">
      <w:rPr>
        <w:rFonts w:ascii="Arial" w:eastAsia="Times New Roman" w:hAnsi="Arial" w:cs="Arial"/>
        <w:b/>
        <w:bCs/>
        <w:sz w:val="28"/>
        <w:szCs w:val="28"/>
      </w:rPr>
      <w:noBreakHyphen/>
      <w:t>CRIMINAL</w:t>
    </w:r>
    <w:r w:rsidRPr="009474C9">
      <w:rPr>
        <w:rFonts w:ascii="Arial" w:eastAsia="Times New Roman" w:hAnsi="Arial" w:cs="Arial"/>
        <w:b/>
        <w:bCs/>
        <w:sz w:val="28"/>
        <w:szCs w:val="28"/>
      </w:rPr>
      <w:tab/>
      <w:t>1441B</w:t>
    </w:r>
  </w:p>
  <w:p w14:paraId="0C5BD81E" w14:textId="3A7EB012" w:rsidR="009474C9" w:rsidRDefault="009474C9" w:rsidP="009474C9">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29356CB8" w14:textId="77777777" w:rsidR="009474C9" w:rsidRPr="009474C9" w:rsidRDefault="009474C9" w:rsidP="009474C9">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4C9"/>
    <w:rsid w:val="000A16D6"/>
    <w:rsid w:val="002C4E44"/>
    <w:rsid w:val="00373EAC"/>
    <w:rsid w:val="003F49B1"/>
    <w:rsid w:val="004B0988"/>
    <w:rsid w:val="0055474E"/>
    <w:rsid w:val="00610D46"/>
    <w:rsid w:val="006911FE"/>
    <w:rsid w:val="00827C54"/>
    <w:rsid w:val="008E3407"/>
    <w:rsid w:val="009474C9"/>
    <w:rsid w:val="00B76D67"/>
    <w:rsid w:val="00C052B1"/>
    <w:rsid w:val="00C84289"/>
    <w:rsid w:val="00DA1954"/>
    <w:rsid w:val="00E44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5803"/>
  <w15:chartTrackingRefBased/>
  <w15:docId w15:val="{4BA5A9BB-FFDB-4514-9B40-E09098F43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4C9"/>
  </w:style>
  <w:style w:type="paragraph" w:styleId="Footer">
    <w:name w:val="footer"/>
    <w:basedOn w:val="Normal"/>
    <w:link w:val="FooterChar"/>
    <w:uiPriority w:val="99"/>
    <w:unhideWhenUsed/>
    <w:rsid w:val="00947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4C9"/>
  </w:style>
  <w:style w:type="paragraph" w:styleId="NoSpacing">
    <w:name w:val="No Spacing"/>
    <w:uiPriority w:val="1"/>
    <w:qFormat/>
    <w:rsid w:val="009474C9"/>
    <w:pPr>
      <w:spacing w:after="0" w:line="240" w:lineRule="auto"/>
    </w:pPr>
  </w:style>
  <w:style w:type="paragraph" w:styleId="EndnoteText">
    <w:name w:val="endnote text"/>
    <w:basedOn w:val="Normal"/>
    <w:link w:val="EndnoteTextChar"/>
    <w:uiPriority w:val="99"/>
    <w:semiHidden/>
    <w:unhideWhenUsed/>
    <w:rsid w:val="009474C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74C9"/>
    <w:rPr>
      <w:sz w:val="20"/>
      <w:szCs w:val="20"/>
    </w:rPr>
  </w:style>
  <w:style w:type="character" w:styleId="EndnoteReference">
    <w:name w:val="endnote reference"/>
    <w:basedOn w:val="DefaultParagraphFont"/>
    <w:uiPriority w:val="99"/>
    <w:semiHidden/>
    <w:unhideWhenUsed/>
    <w:rsid w:val="009474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98846-2234-4591-A104-2F3A77385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10</cp:revision>
  <dcterms:created xsi:type="dcterms:W3CDTF">2026-07-13T21:08:00Z</dcterms:created>
  <dcterms:modified xsi:type="dcterms:W3CDTF">2026-07-13T22:26:00Z</dcterms:modified>
</cp:coreProperties>
</file>