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B5" w:rsidRDefault="000123B5" w:rsidP="000123B5">
      <w:pPr>
        <w:widowControl/>
        <w:tabs>
          <w:tab w:val="left" w:pos="720"/>
          <w:tab w:val="left" w:pos="1440"/>
          <w:tab w:val="left" w:pos="2160"/>
          <w:tab w:val="left" w:pos="2880"/>
          <w:tab w:val="left" w:pos="3600"/>
          <w:tab w:val="left" w:pos="4320"/>
          <w:tab w:val="left" w:pos="5040"/>
          <w:tab w:val="left" w:pos="5760"/>
        </w:tabs>
        <w:ind w:left="720" w:hanging="720"/>
        <w:rPr>
          <w:b/>
          <w:bCs/>
          <w:sz w:val="26"/>
          <w:szCs w:val="26"/>
        </w:rPr>
      </w:pPr>
      <w:r>
        <w:rPr>
          <w:b/>
          <w:bCs/>
          <w:sz w:val="26"/>
          <w:szCs w:val="26"/>
        </w:rPr>
        <w:t>1787  RECEIVING AN ARTICLE FROM AN INMATE TO CONVEY OUT OF JAIL OR PRISON — § 302.095(2)(a)3</w:t>
      </w:r>
    </w:p>
    <w:p w:rsidR="000123B5" w:rsidRDefault="000123B5" w:rsidP="000123B5">
      <w:pPr>
        <w:widowControl/>
        <w:tabs>
          <w:tab w:val="left" w:pos="720"/>
          <w:tab w:val="left" w:pos="1440"/>
          <w:tab w:val="left" w:pos="2160"/>
          <w:tab w:val="left" w:pos="2880"/>
          <w:tab w:val="left" w:pos="3600"/>
          <w:tab w:val="left" w:pos="4320"/>
          <w:tab w:val="left" w:pos="5040"/>
          <w:tab w:val="left" w:pos="5760"/>
        </w:tabs>
        <w:ind w:left="720" w:hanging="720"/>
        <w:rPr>
          <w:b/>
          <w:bCs/>
          <w:sz w:val="26"/>
          <w:szCs w:val="26"/>
        </w:rPr>
      </w:pPr>
    </w:p>
    <w:p w:rsidR="00E46242" w:rsidRPr="00E46242" w:rsidRDefault="00E46242" w:rsidP="00C432B1">
      <w:pPr>
        <w:pStyle w:val="NoSpacing"/>
        <w:spacing w:line="480" w:lineRule="auto"/>
        <w:jc w:val="center"/>
        <w:rPr>
          <w:b/>
          <w:sz w:val="26"/>
          <w:szCs w:val="26"/>
        </w:rPr>
      </w:pPr>
      <w:r w:rsidRPr="00E46242">
        <w:rPr>
          <w:b/>
          <w:sz w:val="26"/>
          <w:szCs w:val="26"/>
        </w:rPr>
        <w:t>Statutory Definition of the Crime</w:t>
      </w:r>
    </w:p>
    <w:p w:rsidR="00E46242" w:rsidRPr="00E46242" w:rsidRDefault="00E46242" w:rsidP="00C432B1">
      <w:pPr>
        <w:pStyle w:val="NoSpacing"/>
        <w:spacing w:line="480" w:lineRule="auto"/>
        <w:ind w:firstLine="450"/>
        <w:jc w:val="both"/>
        <w:rPr>
          <w:sz w:val="26"/>
          <w:szCs w:val="26"/>
        </w:rPr>
      </w:pPr>
      <w:r w:rsidRPr="00E46242">
        <w:rPr>
          <w:sz w:val="26"/>
          <w:szCs w:val="26"/>
        </w:rPr>
        <w:t>Section 302.095(2)(a)3 of the Wisconsin Statutes is violated by a person who receives from an inmate any article with intent to convey the same out of (jail) (prison), contrary to the rules or regulations and without the knowledge or permission of the (sheriff or keeper of the jail) (warden or superintendent of the prison).</w:t>
      </w:r>
    </w:p>
    <w:p w:rsidR="00E46242" w:rsidRPr="00E46242" w:rsidRDefault="00E46242" w:rsidP="00C432B1">
      <w:pPr>
        <w:pStyle w:val="NoSpacing"/>
        <w:spacing w:line="480" w:lineRule="auto"/>
        <w:jc w:val="center"/>
        <w:rPr>
          <w:b/>
          <w:sz w:val="26"/>
          <w:szCs w:val="26"/>
        </w:rPr>
      </w:pPr>
      <w:r w:rsidRPr="00E46242">
        <w:rPr>
          <w:b/>
          <w:sz w:val="26"/>
          <w:szCs w:val="26"/>
        </w:rPr>
        <w:t>State’</w:t>
      </w:r>
      <w:r w:rsidRPr="00E46242">
        <w:rPr>
          <w:b/>
          <w:sz w:val="26"/>
          <w:szCs w:val="26"/>
        </w:rPr>
        <w:t>s Burden of Proof</w:t>
      </w:r>
    </w:p>
    <w:p w:rsidR="00E46242" w:rsidRPr="00E46242" w:rsidRDefault="00E46242" w:rsidP="00C432B1">
      <w:pPr>
        <w:pStyle w:val="NoSpacing"/>
        <w:spacing w:line="480" w:lineRule="auto"/>
        <w:ind w:firstLine="450"/>
        <w:jc w:val="both"/>
        <w:rPr>
          <w:sz w:val="26"/>
          <w:szCs w:val="26"/>
        </w:rPr>
      </w:pPr>
      <w:r w:rsidRPr="00E46242">
        <w:rPr>
          <w:sz w:val="26"/>
          <w:szCs w:val="26"/>
        </w:rPr>
        <w:t>Before you may find the defendant guilty of this offense, the State must prove by evidence which satisfies you beyond a reasonable doubt that the following two elements were present.</w:t>
      </w:r>
    </w:p>
    <w:p w:rsidR="00E46242" w:rsidRPr="00C432B1" w:rsidRDefault="00E46242" w:rsidP="00C432B1">
      <w:pPr>
        <w:pStyle w:val="NoSpacing"/>
        <w:spacing w:line="480" w:lineRule="auto"/>
        <w:jc w:val="center"/>
        <w:rPr>
          <w:b/>
          <w:sz w:val="26"/>
          <w:szCs w:val="26"/>
        </w:rPr>
      </w:pPr>
      <w:r w:rsidRPr="00C432B1">
        <w:rPr>
          <w:b/>
          <w:sz w:val="26"/>
          <w:szCs w:val="26"/>
        </w:rPr>
        <w:t>Elements of the Crime That the State Must Prove</w:t>
      </w:r>
    </w:p>
    <w:p w:rsidR="00E46242" w:rsidRPr="00E46242" w:rsidRDefault="00E46242" w:rsidP="00C432B1">
      <w:pPr>
        <w:pStyle w:val="NoSpacing"/>
        <w:tabs>
          <w:tab w:val="left" w:pos="900"/>
        </w:tabs>
        <w:spacing w:line="480" w:lineRule="auto"/>
        <w:ind w:left="450"/>
        <w:jc w:val="both"/>
        <w:rPr>
          <w:sz w:val="26"/>
          <w:szCs w:val="26"/>
        </w:rPr>
      </w:pPr>
      <w:r w:rsidRPr="00E46242">
        <w:rPr>
          <w:sz w:val="26"/>
          <w:szCs w:val="26"/>
        </w:rPr>
        <w:t>1.</w:t>
      </w:r>
      <w:r w:rsidRPr="00E46242">
        <w:rPr>
          <w:sz w:val="26"/>
          <w:szCs w:val="26"/>
        </w:rPr>
        <w:tab/>
        <w:t>The defendant received an article from an inmate.</w:t>
      </w:r>
    </w:p>
    <w:p w:rsidR="00E46242" w:rsidRPr="00E46242" w:rsidRDefault="00E46242" w:rsidP="00C432B1">
      <w:pPr>
        <w:pStyle w:val="NoSpacing"/>
        <w:tabs>
          <w:tab w:val="left" w:pos="900"/>
        </w:tabs>
        <w:spacing w:line="480" w:lineRule="auto"/>
        <w:ind w:left="450"/>
        <w:jc w:val="both"/>
        <w:rPr>
          <w:sz w:val="26"/>
          <w:szCs w:val="26"/>
        </w:rPr>
      </w:pPr>
      <w:r w:rsidRPr="00E46242">
        <w:rPr>
          <w:sz w:val="26"/>
          <w:szCs w:val="26"/>
        </w:rPr>
        <w:t>2.</w:t>
      </w:r>
      <w:r w:rsidRPr="00E46242">
        <w:rPr>
          <w:sz w:val="26"/>
          <w:szCs w:val="26"/>
        </w:rPr>
        <w:tab/>
        <w:t>The defendant intended to conve</w:t>
      </w:r>
      <w:r w:rsidR="00C432B1">
        <w:rPr>
          <w:sz w:val="26"/>
          <w:szCs w:val="26"/>
        </w:rPr>
        <w:t>y the article out of the (jail)</w:t>
      </w:r>
      <w:r w:rsidR="00C432B1">
        <w:rPr>
          <w:sz w:val="26"/>
          <w:szCs w:val="26"/>
          <w:vertAlign w:val="superscript"/>
        </w:rPr>
        <w:t>1</w:t>
      </w:r>
      <w:r w:rsidRPr="00E46242">
        <w:rPr>
          <w:sz w:val="26"/>
          <w:szCs w:val="26"/>
        </w:rPr>
        <w:t xml:space="preserve"> (prison).</w:t>
      </w:r>
    </w:p>
    <w:p w:rsidR="00E46242" w:rsidRPr="00E46242" w:rsidRDefault="00E46242" w:rsidP="00C432B1">
      <w:pPr>
        <w:pStyle w:val="NoSpacing"/>
        <w:tabs>
          <w:tab w:val="left" w:pos="900"/>
        </w:tabs>
        <w:spacing w:line="480" w:lineRule="auto"/>
        <w:ind w:left="900" w:hanging="450"/>
        <w:jc w:val="both"/>
        <w:rPr>
          <w:sz w:val="26"/>
          <w:szCs w:val="26"/>
        </w:rPr>
      </w:pPr>
      <w:r w:rsidRPr="00E46242">
        <w:rPr>
          <w:sz w:val="26"/>
          <w:szCs w:val="26"/>
        </w:rPr>
        <w:t>3.</w:t>
      </w:r>
      <w:r w:rsidRPr="00E46242">
        <w:rPr>
          <w:sz w:val="26"/>
          <w:szCs w:val="26"/>
        </w:rPr>
        <w:tab/>
        <w:t>The conveyance of the article out of the (jail) (prison) was contrary to the rules or regulations and without the knowledge or permission of the (sheriff or other keeper of the jail) (warden or s</w:t>
      </w:r>
      <w:r w:rsidR="00C432B1">
        <w:rPr>
          <w:sz w:val="26"/>
          <w:szCs w:val="26"/>
        </w:rPr>
        <w:t>uperintendent of the prison).</w:t>
      </w:r>
      <w:r w:rsidR="00C432B1">
        <w:rPr>
          <w:sz w:val="26"/>
          <w:szCs w:val="26"/>
          <w:vertAlign w:val="superscript"/>
        </w:rPr>
        <w:t>2</w:t>
      </w:r>
      <w:r w:rsidRPr="00E46242">
        <w:rPr>
          <w:sz w:val="26"/>
          <w:szCs w:val="26"/>
        </w:rPr>
        <w:t xml:space="preserve"> </w:t>
      </w:r>
    </w:p>
    <w:p w:rsidR="00E46242" w:rsidRPr="00E46242" w:rsidRDefault="00E46242" w:rsidP="00C432B1">
      <w:pPr>
        <w:pStyle w:val="NoSpacing"/>
        <w:spacing w:line="480" w:lineRule="auto"/>
        <w:jc w:val="center"/>
        <w:rPr>
          <w:b/>
          <w:sz w:val="26"/>
          <w:szCs w:val="26"/>
        </w:rPr>
      </w:pPr>
      <w:r w:rsidRPr="00E46242">
        <w:rPr>
          <w:b/>
          <w:sz w:val="26"/>
          <w:szCs w:val="26"/>
        </w:rPr>
        <w:t>Deciding About Intent</w:t>
      </w:r>
    </w:p>
    <w:p w:rsidR="00E46242" w:rsidRPr="00E46242" w:rsidRDefault="00E46242" w:rsidP="00C432B1">
      <w:pPr>
        <w:pStyle w:val="NoSpacing"/>
        <w:spacing w:line="480" w:lineRule="auto"/>
        <w:ind w:firstLine="450"/>
        <w:rPr>
          <w:sz w:val="26"/>
          <w:szCs w:val="26"/>
        </w:rPr>
      </w:pPr>
      <w:r w:rsidRPr="00E46242">
        <w:rPr>
          <w:sz w:val="26"/>
          <w:szCs w:val="26"/>
        </w:rPr>
        <w:t>You cannot look into a person’s mind to find intent. Intent must be found, if found at all, from the defendant’s acts, words, and statements, if any, and from all the facts and circumstances in this case bearing upon intent.</w:t>
      </w:r>
    </w:p>
    <w:p w:rsidR="00E46242" w:rsidRPr="00E46242" w:rsidRDefault="00E46242" w:rsidP="00C432B1">
      <w:pPr>
        <w:pStyle w:val="NoSpacing"/>
        <w:spacing w:line="480" w:lineRule="auto"/>
        <w:jc w:val="center"/>
        <w:rPr>
          <w:b/>
          <w:sz w:val="26"/>
          <w:szCs w:val="26"/>
        </w:rPr>
      </w:pPr>
      <w:r w:rsidRPr="00E46242">
        <w:rPr>
          <w:b/>
          <w:sz w:val="26"/>
          <w:szCs w:val="26"/>
        </w:rPr>
        <w:lastRenderedPageBreak/>
        <w:t>Jury's Decision</w:t>
      </w:r>
    </w:p>
    <w:p w:rsidR="00E46242" w:rsidRPr="00E46242" w:rsidRDefault="00E46242" w:rsidP="00C432B1">
      <w:pPr>
        <w:pStyle w:val="NoSpacing"/>
        <w:spacing w:line="480" w:lineRule="auto"/>
        <w:ind w:firstLine="450"/>
        <w:jc w:val="both"/>
        <w:rPr>
          <w:sz w:val="26"/>
          <w:szCs w:val="26"/>
        </w:rPr>
      </w:pPr>
      <w:r w:rsidRPr="00E46242">
        <w:rPr>
          <w:sz w:val="26"/>
          <w:szCs w:val="26"/>
        </w:rPr>
        <w:t>If you are satisfied beyond a reasonable doubt that both elements of this offense have been proved, you should find the defendant guilty.</w:t>
      </w:r>
    </w:p>
    <w:p w:rsidR="000123B5" w:rsidRPr="00E46242" w:rsidRDefault="00E46242" w:rsidP="00C432B1">
      <w:pPr>
        <w:pStyle w:val="NoSpacing"/>
        <w:spacing w:line="480" w:lineRule="auto"/>
        <w:ind w:firstLine="450"/>
        <w:jc w:val="both"/>
        <w:rPr>
          <w:sz w:val="26"/>
          <w:szCs w:val="26"/>
        </w:rPr>
      </w:pPr>
      <w:r w:rsidRPr="00E46242">
        <w:rPr>
          <w:sz w:val="26"/>
          <w:szCs w:val="26"/>
        </w:rPr>
        <w:t>If you are not so satisfied, you must find the defendant not guilty.</w:t>
      </w:r>
    </w:p>
    <w:p w:rsidR="00E46242" w:rsidRDefault="00E46242" w:rsidP="00E46242">
      <w:pPr>
        <w:pStyle w:val="NoSpacing"/>
      </w:pPr>
    </w:p>
    <w:p w:rsidR="00E46242" w:rsidRDefault="00E46242" w:rsidP="00E46242">
      <w:pPr>
        <w:pStyle w:val="NoSpacing"/>
      </w:pPr>
    </w:p>
    <w:p w:rsidR="00E46242" w:rsidRPr="00E46242" w:rsidRDefault="00E46242" w:rsidP="00E46242">
      <w:pPr>
        <w:pStyle w:val="NoSpacing"/>
        <w:jc w:val="both"/>
        <w:rPr>
          <w:b/>
          <w:sz w:val="22"/>
          <w:szCs w:val="22"/>
        </w:rPr>
      </w:pPr>
      <w:r w:rsidRPr="00E46242">
        <w:rPr>
          <w:b/>
          <w:sz w:val="22"/>
          <w:szCs w:val="22"/>
        </w:rPr>
        <w:t>COMMENT</w:t>
      </w:r>
    </w:p>
    <w:p w:rsidR="00E46242" w:rsidRPr="00E46242" w:rsidRDefault="00E46242" w:rsidP="00E46242">
      <w:pPr>
        <w:pStyle w:val="NoSpacing"/>
        <w:jc w:val="both"/>
        <w:rPr>
          <w:sz w:val="22"/>
          <w:szCs w:val="22"/>
        </w:rPr>
      </w:pPr>
    </w:p>
    <w:p w:rsidR="00E46242" w:rsidRPr="00E46242" w:rsidRDefault="00E46242" w:rsidP="00E46242">
      <w:pPr>
        <w:pStyle w:val="NoSpacing"/>
        <w:ind w:firstLine="450"/>
        <w:jc w:val="both"/>
        <w:rPr>
          <w:sz w:val="22"/>
          <w:szCs w:val="22"/>
        </w:rPr>
      </w:pPr>
      <w:r w:rsidRPr="00E46242">
        <w:rPr>
          <w:sz w:val="22"/>
          <w:szCs w:val="22"/>
        </w:rPr>
        <w:t>Wis JI Criminal 1787 was a</w:t>
      </w:r>
      <w:r>
        <w:rPr>
          <w:sz w:val="22"/>
          <w:szCs w:val="22"/>
        </w:rPr>
        <w:t>pproved by the committee in October 2020</w:t>
      </w:r>
      <w:r w:rsidRPr="00E46242">
        <w:rPr>
          <w:sz w:val="22"/>
          <w:szCs w:val="22"/>
        </w:rPr>
        <w:t xml:space="preserve">. </w:t>
      </w:r>
    </w:p>
    <w:p w:rsidR="00E46242" w:rsidRPr="00E46242" w:rsidRDefault="00E46242" w:rsidP="00E46242">
      <w:pPr>
        <w:pStyle w:val="NoSpacing"/>
        <w:jc w:val="both"/>
        <w:rPr>
          <w:sz w:val="22"/>
          <w:szCs w:val="22"/>
        </w:rPr>
      </w:pPr>
    </w:p>
    <w:p w:rsidR="00E46242" w:rsidRPr="00E46242" w:rsidRDefault="00E46242" w:rsidP="00E46242">
      <w:pPr>
        <w:pStyle w:val="NoSpacing"/>
        <w:jc w:val="both"/>
        <w:rPr>
          <w:sz w:val="22"/>
          <w:szCs w:val="22"/>
        </w:rPr>
      </w:pPr>
      <w:r w:rsidRPr="00E46242">
        <w:rPr>
          <w:sz w:val="22"/>
          <w:szCs w:val="22"/>
        </w:rPr>
        <w:tab/>
        <w:t xml:space="preserve">This instruction is for violations of § 302.095(2)(a)3, as amended by 2019 Wisconsin Act 111 [effective date: March 1, 2020], concerning the receipt of an article from an inmate for conveyance out of the jail. The offense is a Class I felony. For violations of § 302.095(2)(a)1 concerning delivery of an article to an inmate, see Wis JI-Criminal 1785. For violations of § 302.095(2)(a)1 concerning possession of an article with intent to deliver it to an inmate, see Wis JI Criminal 1786. For violations of § 302.095(2)(b) concerning an inmate possessing an article with intent to retain, see Wis JI-Criminal 1784. </w:t>
      </w:r>
    </w:p>
    <w:p w:rsidR="00E46242" w:rsidRPr="00E46242" w:rsidRDefault="00E46242" w:rsidP="00E46242">
      <w:pPr>
        <w:pStyle w:val="NoSpacing"/>
        <w:jc w:val="both"/>
        <w:rPr>
          <w:sz w:val="22"/>
          <w:szCs w:val="22"/>
        </w:rPr>
      </w:pPr>
    </w:p>
    <w:p w:rsidR="00E46242" w:rsidRPr="00E46242" w:rsidRDefault="00E46242" w:rsidP="00E46242">
      <w:pPr>
        <w:pStyle w:val="NoSpacing"/>
        <w:jc w:val="both"/>
        <w:rPr>
          <w:sz w:val="22"/>
          <w:szCs w:val="22"/>
        </w:rPr>
      </w:pPr>
      <w:r w:rsidRPr="00E46242">
        <w:rPr>
          <w:sz w:val="22"/>
          <w:szCs w:val="22"/>
        </w:rPr>
        <w:tab/>
        <w:t>§ 302.095(2)(a)2 prohibits depositing or concealing an article in or about a jail or prison or in a vehicle going into jail or prison premises. There is not a uniform instruction for violation of sub (2)(a)2.</w:t>
      </w:r>
    </w:p>
    <w:p w:rsidR="00C432B1" w:rsidRDefault="00C432B1" w:rsidP="00E46242">
      <w:pPr>
        <w:pStyle w:val="NoSpacing"/>
        <w:jc w:val="both"/>
        <w:rPr>
          <w:sz w:val="22"/>
          <w:szCs w:val="22"/>
        </w:rPr>
      </w:pPr>
    </w:p>
    <w:p w:rsidR="00E46242" w:rsidRPr="00E46242" w:rsidRDefault="00E46242" w:rsidP="00C432B1">
      <w:pPr>
        <w:pStyle w:val="NoSpacing"/>
        <w:numPr>
          <w:ilvl w:val="0"/>
          <w:numId w:val="1"/>
        </w:numPr>
        <w:ind w:left="900" w:hanging="450"/>
        <w:jc w:val="both"/>
        <w:rPr>
          <w:sz w:val="22"/>
          <w:szCs w:val="22"/>
        </w:rPr>
      </w:pPr>
      <w:r w:rsidRPr="00E46242">
        <w:rPr>
          <w:sz w:val="22"/>
          <w:szCs w:val="22"/>
        </w:rPr>
        <w:t>Sec</w:t>
      </w:r>
      <w:r w:rsidR="00C432B1">
        <w:rPr>
          <w:sz w:val="22"/>
          <w:szCs w:val="22"/>
        </w:rPr>
        <w:t>tion 302.095(1) provides that “‘jail’</w:t>
      </w:r>
      <w:r w:rsidRPr="00E46242">
        <w:rPr>
          <w:sz w:val="22"/>
          <w:szCs w:val="22"/>
        </w:rPr>
        <w:t xml:space="preserve"> means any of the following:</w:t>
      </w:r>
    </w:p>
    <w:p w:rsidR="00E46242" w:rsidRPr="00E46242" w:rsidRDefault="00E46242" w:rsidP="00E46242">
      <w:pPr>
        <w:pStyle w:val="NoSpacing"/>
        <w:jc w:val="both"/>
        <w:rPr>
          <w:sz w:val="22"/>
          <w:szCs w:val="22"/>
        </w:rPr>
      </w:pPr>
    </w:p>
    <w:p w:rsidR="00E46242" w:rsidRPr="00E46242" w:rsidRDefault="00E46242" w:rsidP="00C432B1">
      <w:pPr>
        <w:pStyle w:val="NoSpacing"/>
        <w:ind w:left="900"/>
        <w:jc w:val="both"/>
        <w:rPr>
          <w:sz w:val="22"/>
          <w:szCs w:val="22"/>
        </w:rPr>
      </w:pPr>
      <w:r w:rsidRPr="00E46242">
        <w:rPr>
          <w:sz w:val="22"/>
          <w:szCs w:val="22"/>
        </w:rPr>
        <w:t>(a)  A jail, as defined in s. 302.30.</w:t>
      </w:r>
    </w:p>
    <w:p w:rsidR="00E46242" w:rsidRPr="00E46242" w:rsidRDefault="00E46242" w:rsidP="00C432B1">
      <w:pPr>
        <w:pStyle w:val="NoSpacing"/>
        <w:ind w:left="900"/>
        <w:jc w:val="both"/>
        <w:rPr>
          <w:sz w:val="22"/>
          <w:szCs w:val="22"/>
        </w:rPr>
      </w:pPr>
      <w:r w:rsidRPr="00E46242">
        <w:rPr>
          <w:sz w:val="22"/>
          <w:szCs w:val="22"/>
        </w:rPr>
        <w:t>(b)  A house of correction.</w:t>
      </w:r>
    </w:p>
    <w:p w:rsidR="00E46242" w:rsidRPr="00E46242" w:rsidRDefault="00E46242" w:rsidP="00C432B1">
      <w:pPr>
        <w:pStyle w:val="NoSpacing"/>
        <w:ind w:left="900"/>
        <w:jc w:val="both"/>
        <w:rPr>
          <w:sz w:val="22"/>
          <w:szCs w:val="22"/>
        </w:rPr>
      </w:pPr>
      <w:r w:rsidRPr="00E46242">
        <w:rPr>
          <w:sz w:val="22"/>
          <w:szCs w:val="22"/>
        </w:rPr>
        <w:t>(c)  A Huber facility under s. 303.09.</w:t>
      </w:r>
    </w:p>
    <w:p w:rsidR="00E46242" w:rsidRPr="00E46242" w:rsidRDefault="00E46242" w:rsidP="00C432B1">
      <w:pPr>
        <w:pStyle w:val="NoSpacing"/>
        <w:ind w:left="900"/>
        <w:jc w:val="both"/>
        <w:rPr>
          <w:sz w:val="22"/>
          <w:szCs w:val="22"/>
        </w:rPr>
      </w:pPr>
      <w:r w:rsidRPr="00E46242">
        <w:rPr>
          <w:sz w:val="22"/>
          <w:szCs w:val="22"/>
        </w:rPr>
        <w:t>(d)  A lockup fac</w:t>
      </w:r>
      <w:r w:rsidR="00C432B1">
        <w:rPr>
          <w:sz w:val="22"/>
          <w:szCs w:val="22"/>
        </w:rPr>
        <w:t>ility, as defined in s. 302.30.”</w:t>
      </w:r>
    </w:p>
    <w:p w:rsidR="00E46242" w:rsidRDefault="00E46242" w:rsidP="00C432B1">
      <w:pPr>
        <w:pStyle w:val="NoSpacing"/>
        <w:ind w:left="900"/>
      </w:pPr>
    </w:p>
    <w:p w:rsidR="003F21D8" w:rsidRDefault="003F21D8">
      <w:bookmarkStart w:id="0" w:name="_GoBack"/>
      <w:bookmarkEnd w:id="0"/>
    </w:p>
    <w:sectPr w:rsidR="003F21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B5" w:rsidRDefault="000123B5" w:rsidP="000123B5">
      <w:r>
        <w:separator/>
      </w:r>
    </w:p>
  </w:endnote>
  <w:endnote w:type="continuationSeparator" w:id="0">
    <w:p w:rsidR="000123B5" w:rsidRDefault="000123B5" w:rsidP="0001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B1" w:rsidRPr="00C432B1" w:rsidRDefault="00C432B1" w:rsidP="00C432B1">
    <w:pPr>
      <w:pStyle w:val="Footer"/>
      <w:jc w:val="both"/>
      <w:rPr>
        <w:rFonts w:ascii="Arial" w:hAnsi="Arial" w:cs="Arial"/>
        <w:sz w:val="20"/>
        <w:szCs w:val="20"/>
      </w:rPr>
    </w:pPr>
    <w:r w:rsidRPr="00C432B1">
      <w:rPr>
        <w:rFonts w:ascii="Arial" w:hAnsi="Arial" w:cs="Arial"/>
        <w:sz w:val="20"/>
        <w:szCs w:val="20"/>
      </w:rPr>
      <w:t>Wisconsin Court System, 2021</w:t>
    </w:r>
    <w:r w:rsidRPr="00C432B1">
      <w:rPr>
        <w:rFonts w:ascii="Arial" w:hAnsi="Arial" w:cs="Arial"/>
        <w:sz w:val="20"/>
        <w:szCs w:val="20"/>
      </w:rPr>
      <w:tab/>
    </w:r>
    <w:r w:rsidRPr="00C432B1">
      <w:rPr>
        <w:rFonts w:ascii="Arial" w:hAnsi="Arial" w:cs="Arial"/>
        <w:sz w:val="20"/>
        <w:szCs w:val="20"/>
      </w:rPr>
      <w:tab/>
      <w:t>(Release No. 59)</w:t>
    </w:r>
  </w:p>
  <w:p w:rsidR="00C432B1" w:rsidRPr="00C432B1" w:rsidRDefault="00C432B1">
    <w:pPr>
      <w:pStyle w:val="Footer"/>
      <w:jc w:val="center"/>
      <w:rPr>
        <w:rFonts w:ascii="Arial" w:hAnsi="Arial" w:cs="Arial"/>
        <w:sz w:val="20"/>
        <w:szCs w:val="20"/>
      </w:rPr>
    </w:pPr>
    <w:sdt>
      <w:sdtPr>
        <w:rPr>
          <w:rFonts w:ascii="Arial" w:hAnsi="Arial" w:cs="Arial"/>
          <w:sz w:val="20"/>
          <w:szCs w:val="20"/>
        </w:rPr>
        <w:id w:val="-607042314"/>
        <w:docPartObj>
          <w:docPartGallery w:val="Page Numbers (Bottom of Page)"/>
          <w:docPartUnique/>
        </w:docPartObj>
      </w:sdtPr>
      <w:sdtEndPr>
        <w:rPr>
          <w:noProof/>
        </w:rPr>
      </w:sdtEndPr>
      <w:sdtContent>
        <w:r w:rsidRPr="00C432B1">
          <w:rPr>
            <w:rFonts w:ascii="Arial" w:hAnsi="Arial" w:cs="Arial"/>
            <w:sz w:val="20"/>
            <w:szCs w:val="20"/>
          </w:rPr>
          <w:fldChar w:fldCharType="begin"/>
        </w:r>
        <w:r w:rsidRPr="00C432B1">
          <w:rPr>
            <w:rFonts w:ascii="Arial" w:hAnsi="Arial" w:cs="Arial"/>
            <w:sz w:val="20"/>
            <w:szCs w:val="20"/>
          </w:rPr>
          <w:instrText xml:space="preserve"> PAGE   \* MERGEFORMAT </w:instrText>
        </w:r>
        <w:r w:rsidRPr="00C432B1">
          <w:rPr>
            <w:rFonts w:ascii="Arial" w:hAnsi="Arial" w:cs="Arial"/>
            <w:sz w:val="20"/>
            <w:szCs w:val="20"/>
          </w:rPr>
          <w:fldChar w:fldCharType="separate"/>
        </w:r>
        <w:r w:rsidR="00752533">
          <w:rPr>
            <w:rFonts w:ascii="Arial" w:hAnsi="Arial" w:cs="Arial"/>
            <w:noProof/>
            <w:sz w:val="20"/>
            <w:szCs w:val="20"/>
          </w:rPr>
          <w:t>1</w:t>
        </w:r>
        <w:r w:rsidRPr="00C432B1">
          <w:rPr>
            <w:rFonts w:ascii="Arial" w:hAnsi="Arial" w:cs="Arial"/>
            <w:noProof/>
            <w:sz w:val="20"/>
            <w:szCs w:val="20"/>
          </w:rPr>
          <w:fldChar w:fldCharType="end"/>
        </w:r>
      </w:sdtContent>
    </w:sdt>
  </w:p>
  <w:p w:rsidR="00C432B1" w:rsidRDefault="00C4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B5" w:rsidRDefault="000123B5" w:rsidP="000123B5">
      <w:r>
        <w:separator/>
      </w:r>
    </w:p>
  </w:footnote>
  <w:footnote w:type="continuationSeparator" w:id="0">
    <w:p w:rsidR="000123B5" w:rsidRDefault="000123B5" w:rsidP="0001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B5" w:rsidRDefault="000123B5" w:rsidP="000123B5">
    <w:pPr>
      <w:tabs>
        <w:tab w:val="center" w:pos="4680"/>
        <w:tab w:val="right" w:pos="9360"/>
      </w:tabs>
      <w:jc w:val="both"/>
      <w:rPr>
        <w:rFonts w:ascii="Arial" w:hAnsi="Arial" w:cs="Arial"/>
        <w:b/>
        <w:bCs/>
        <w:sz w:val="28"/>
        <w:szCs w:val="28"/>
      </w:rPr>
    </w:pPr>
  </w:p>
  <w:p w:rsidR="000123B5" w:rsidRDefault="000123B5" w:rsidP="000123B5">
    <w:pPr>
      <w:tabs>
        <w:tab w:val="center" w:pos="4680"/>
        <w:tab w:val="right" w:pos="9360"/>
      </w:tabs>
      <w:jc w:val="both"/>
      <w:rPr>
        <w:rFonts w:ascii="Arial" w:hAnsi="Arial" w:cs="Arial"/>
        <w:b/>
        <w:bCs/>
        <w:sz w:val="28"/>
        <w:szCs w:val="28"/>
      </w:rPr>
    </w:pPr>
    <w:r w:rsidRPr="000123B5">
      <w:rPr>
        <w:rFonts w:ascii="Arial" w:hAnsi="Arial" w:cs="Arial"/>
        <w:b/>
        <w:bCs/>
        <w:sz w:val="28"/>
        <w:szCs w:val="28"/>
      </w:rPr>
      <w:t>1787</w:t>
    </w:r>
    <w:r w:rsidRPr="000123B5">
      <w:rPr>
        <w:rFonts w:ascii="Arial" w:hAnsi="Arial" w:cs="Arial"/>
        <w:b/>
        <w:bCs/>
        <w:sz w:val="28"/>
        <w:szCs w:val="28"/>
      </w:rPr>
      <w:tab/>
      <w:t>WIS JI</w:t>
    </w:r>
    <w:r w:rsidRPr="000123B5">
      <w:rPr>
        <w:rFonts w:ascii="Arial" w:hAnsi="Arial" w:cs="Arial"/>
        <w:b/>
        <w:bCs/>
        <w:sz w:val="28"/>
        <w:szCs w:val="28"/>
      </w:rPr>
      <w:noBreakHyphen/>
      <w:t>CRIMINAL</w:t>
    </w:r>
    <w:r w:rsidRPr="000123B5">
      <w:rPr>
        <w:rFonts w:ascii="Arial" w:hAnsi="Arial" w:cs="Arial"/>
        <w:b/>
        <w:bCs/>
        <w:sz w:val="28"/>
        <w:szCs w:val="28"/>
      </w:rPr>
      <w:tab/>
      <w:t>1787</w:t>
    </w:r>
  </w:p>
  <w:p w:rsidR="000123B5" w:rsidRPr="000123B5" w:rsidRDefault="000123B5" w:rsidP="000123B5">
    <w:pPr>
      <w:tabs>
        <w:tab w:val="center" w:pos="4680"/>
        <w:tab w:val="right" w:pos="9360"/>
      </w:tabs>
      <w:jc w:val="both"/>
      <w:rPr>
        <w:rFonts w:ascii="Arial" w:hAnsi="Arial" w:cs="Arial"/>
        <w:sz w:val="28"/>
        <w:szCs w:val="28"/>
      </w:rPr>
    </w:pPr>
  </w:p>
  <w:p w:rsidR="000123B5" w:rsidRDefault="00012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31F95"/>
    <w:multiLevelType w:val="hybridMultilevel"/>
    <w:tmpl w:val="BFBC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B5"/>
    <w:rsid w:val="000123B5"/>
    <w:rsid w:val="003F21D8"/>
    <w:rsid w:val="00752533"/>
    <w:rsid w:val="00C432B1"/>
    <w:rsid w:val="00E4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CE8D"/>
  <w15:chartTrackingRefBased/>
  <w15:docId w15:val="{D11BE79C-F969-477B-A6EC-A48CC74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B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23B5"/>
  </w:style>
  <w:style w:type="paragraph" w:styleId="Footer">
    <w:name w:val="footer"/>
    <w:basedOn w:val="Normal"/>
    <w:link w:val="FooterChar"/>
    <w:uiPriority w:val="99"/>
    <w:unhideWhenUsed/>
    <w:rsid w:val="000123B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23B5"/>
  </w:style>
  <w:style w:type="paragraph" w:styleId="NoSpacing">
    <w:name w:val="No Spacing"/>
    <w:uiPriority w:val="1"/>
    <w:qFormat/>
    <w:rsid w:val="000123B5"/>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dcterms:created xsi:type="dcterms:W3CDTF">2021-08-17T15:17:00Z</dcterms:created>
  <dcterms:modified xsi:type="dcterms:W3CDTF">2021-08-17T15:17:00Z</dcterms:modified>
</cp:coreProperties>
</file>