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5AE8" w14:textId="77777777" w:rsidR="00511604" w:rsidRPr="00511604" w:rsidRDefault="00511604" w:rsidP="00511604">
      <w:pPr>
        <w:pStyle w:val="NoSpacing"/>
        <w:tabs>
          <w:tab w:val="left" w:pos="900"/>
        </w:tabs>
        <w:ind w:left="900" w:hanging="900"/>
        <w:jc w:val="both"/>
        <w:rPr>
          <w:rFonts w:ascii="Times New Roman" w:hAnsi="Times New Roman" w:cs="Times New Roman"/>
          <w:b/>
          <w:bCs/>
          <w:sz w:val="26"/>
          <w:szCs w:val="26"/>
        </w:rPr>
      </w:pPr>
      <w:r w:rsidRPr="00511604">
        <w:rPr>
          <w:rFonts w:ascii="Times New Roman" w:hAnsi="Times New Roman" w:cs="Times New Roman"/>
          <w:b/>
          <w:bCs/>
          <w:sz w:val="26"/>
          <w:szCs w:val="26"/>
        </w:rPr>
        <w:t>2104</w:t>
      </w:r>
      <w:r w:rsidRPr="00511604">
        <w:rPr>
          <w:rFonts w:ascii="Times New Roman" w:hAnsi="Times New Roman" w:cs="Times New Roman"/>
          <w:b/>
          <w:bCs/>
          <w:sz w:val="26"/>
          <w:szCs w:val="26"/>
        </w:rPr>
        <w:tab/>
        <w:t>SECOND-DEGREE SEXUAL ASSAULT OF A CHILD: SEXUAL CONTACT WITH A PERSON WHO HAS NOT ATTAINED THE AGE OF 16 YEARS — § 948.02(2)</w:t>
      </w:r>
    </w:p>
    <w:p w14:paraId="37D249FA" w14:textId="3672F19D" w:rsidR="00511604" w:rsidRDefault="00511604" w:rsidP="00511604">
      <w:pPr>
        <w:pStyle w:val="NoSpacing"/>
        <w:jc w:val="both"/>
        <w:rPr>
          <w:rFonts w:ascii="Times New Roman" w:hAnsi="Times New Roman" w:cs="Times New Roman"/>
          <w:sz w:val="26"/>
          <w:szCs w:val="26"/>
        </w:rPr>
      </w:pPr>
    </w:p>
    <w:p w14:paraId="72ABDE23" w14:textId="77777777" w:rsidR="00D5308F" w:rsidRPr="00511604" w:rsidRDefault="00D5308F" w:rsidP="00511604">
      <w:pPr>
        <w:pStyle w:val="NoSpacing"/>
        <w:jc w:val="both"/>
        <w:rPr>
          <w:rFonts w:ascii="Times New Roman" w:hAnsi="Times New Roman" w:cs="Times New Roman"/>
          <w:sz w:val="26"/>
          <w:szCs w:val="26"/>
        </w:rPr>
      </w:pPr>
    </w:p>
    <w:p w14:paraId="196CD18A" w14:textId="77777777" w:rsidR="00511604" w:rsidRPr="007D0FCA" w:rsidRDefault="00511604" w:rsidP="00D5308F">
      <w:pPr>
        <w:pStyle w:val="NoSpacing"/>
        <w:spacing w:line="480" w:lineRule="auto"/>
        <w:jc w:val="center"/>
        <w:rPr>
          <w:rFonts w:ascii="Times New Roman" w:hAnsi="Times New Roman" w:cs="Times New Roman"/>
          <w:b/>
          <w:bCs/>
          <w:sz w:val="26"/>
          <w:szCs w:val="26"/>
        </w:rPr>
      </w:pPr>
      <w:r w:rsidRPr="007D0FCA">
        <w:rPr>
          <w:rFonts w:ascii="Times New Roman" w:hAnsi="Times New Roman" w:cs="Times New Roman"/>
          <w:b/>
          <w:bCs/>
          <w:sz w:val="26"/>
          <w:szCs w:val="26"/>
        </w:rPr>
        <w:t>Statutory Definition of the Crime</w:t>
      </w:r>
    </w:p>
    <w:p w14:paraId="7EAF6D2D" w14:textId="77777777" w:rsidR="00511604" w:rsidRPr="00511604" w:rsidRDefault="00511604" w:rsidP="00D5308F">
      <w:pPr>
        <w:pStyle w:val="NoSpacing"/>
        <w:spacing w:line="480" w:lineRule="auto"/>
        <w:ind w:firstLine="450"/>
        <w:jc w:val="both"/>
        <w:rPr>
          <w:rFonts w:ascii="Times New Roman" w:hAnsi="Times New Roman" w:cs="Times New Roman"/>
          <w:sz w:val="26"/>
          <w:szCs w:val="26"/>
        </w:rPr>
      </w:pPr>
      <w:r w:rsidRPr="00511604">
        <w:rPr>
          <w:rFonts w:ascii="Times New Roman" w:hAnsi="Times New Roman" w:cs="Times New Roman"/>
          <w:sz w:val="26"/>
          <w:szCs w:val="26"/>
        </w:rPr>
        <w:t>Second-degree sexual assault of a child, as defined in § 948.02(2) of the Criminal Code of Wisconsin, is committed by one who has sexual contact with a person who has not attained the age of 16 years—meaning contact undertaken with intent to (become sexually aroused or gratified) (sexually degrade or humiliate that person).</w:t>
      </w:r>
    </w:p>
    <w:p w14:paraId="2AFC5395" w14:textId="76AE9759" w:rsidR="00511604" w:rsidRPr="007D0FCA" w:rsidRDefault="00511604" w:rsidP="00D5308F">
      <w:pPr>
        <w:pStyle w:val="NoSpacing"/>
        <w:spacing w:line="480" w:lineRule="auto"/>
        <w:jc w:val="center"/>
        <w:rPr>
          <w:rFonts w:ascii="Times New Roman" w:hAnsi="Times New Roman" w:cs="Times New Roman"/>
          <w:b/>
          <w:bCs/>
          <w:sz w:val="26"/>
          <w:szCs w:val="26"/>
        </w:rPr>
      </w:pPr>
      <w:r w:rsidRPr="007D0FCA">
        <w:rPr>
          <w:rFonts w:ascii="Times New Roman" w:hAnsi="Times New Roman" w:cs="Times New Roman"/>
          <w:b/>
          <w:bCs/>
          <w:sz w:val="26"/>
          <w:szCs w:val="26"/>
        </w:rPr>
        <w:t>State’s Burden of Proof</w:t>
      </w:r>
    </w:p>
    <w:p w14:paraId="2D1F34E6" w14:textId="77777777" w:rsidR="00511604" w:rsidRPr="00511604" w:rsidRDefault="00511604" w:rsidP="00D5308F">
      <w:pPr>
        <w:pStyle w:val="NoSpacing"/>
        <w:spacing w:line="480" w:lineRule="auto"/>
        <w:ind w:firstLine="450"/>
        <w:jc w:val="both"/>
        <w:rPr>
          <w:rFonts w:ascii="Times New Roman" w:hAnsi="Times New Roman" w:cs="Times New Roman"/>
          <w:sz w:val="26"/>
          <w:szCs w:val="26"/>
        </w:rPr>
      </w:pPr>
      <w:r w:rsidRPr="00511604">
        <w:rPr>
          <w:rFonts w:ascii="Times New Roman" w:hAnsi="Times New Roman" w:cs="Times New Roman"/>
          <w:sz w:val="26"/>
          <w:szCs w:val="26"/>
        </w:rPr>
        <w:t>Before you may find the defendant guilty of this offense, the State must prove by evidence which satisfies you beyond a reasonable doubt that the following three elements were present.</w:t>
      </w:r>
    </w:p>
    <w:p w14:paraId="213D371F" w14:textId="4C61379F" w:rsidR="00511604" w:rsidRPr="00D5308F" w:rsidRDefault="00511604" w:rsidP="00D5308F">
      <w:pPr>
        <w:pStyle w:val="NoSpacing"/>
        <w:spacing w:line="480" w:lineRule="auto"/>
        <w:jc w:val="center"/>
        <w:rPr>
          <w:rFonts w:ascii="Times New Roman" w:hAnsi="Times New Roman" w:cs="Times New Roman"/>
          <w:b/>
          <w:bCs/>
          <w:sz w:val="26"/>
          <w:szCs w:val="26"/>
        </w:rPr>
      </w:pPr>
      <w:r w:rsidRPr="00D5308F">
        <w:rPr>
          <w:rFonts w:ascii="Times New Roman" w:hAnsi="Times New Roman" w:cs="Times New Roman"/>
          <w:b/>
          <w:bCs/>
          <w:sz w:val="26"/>
          <w:szCs w:val="26"/>
        </w:rPr>
        <w:t>Elements of the Crime That the State Must Prove</w:t>
      </w:r>
    </w:p>
    <w:p w14:paraId="44785264" w14:textId="77777777" w:rsidR="00511604" w:rsidRPr="00511604" w:rsidRDefault="00511604" w:rsidP="00D5308F">
      <w:pPr>
        <w:pStyle w:val="NoSpacing"/>
        <w:tabs>
          <w:tab w:val="left" w:pos="900"/>
        </w:tabs>
        <w:spacing w:line="480" w:lineRule="auto"/>
        <w:ind w:left="900" w:hanging="450"/>
        <w:jc w:val="both"/>
        <w:rPr>
          <w:rFonts w:ascii="Times New Roman" w:hAnsi="Times New Roman" w:cs="Times New Roman"/>
          <w:sz w:val="26"/>
          <w:szCs w:val="26"/>
        </w:rPr>
      </w:pPr>
      <w:r w:rsidRPr="00511604">
        <w:rPr>
          <w:rFonts w:ascii="Times New Roman" w:hAnsi="Times New Roman" w:cs="Times New Roman"/>
          <w:sz w:val="26"/>
          <w:szCs w:val="26"/>
        </w:rPr>
        <w:t>1.</w:t>
      </w:r>
      <w:r w:rsidRPr="00511604">
        <w:rPr>
          <w:rFonts w:ascii="Times New Roman" w:hAnsi="Times New Roman" w:cs="Times New Roman"/>
          <w:sz w:val="26"/>
          <w:szCs w:val="26"/>
        </w:rPr>
        <w:tab/>
        <w:t>The defendant had sexual contact with (</w:t>
      </w:r>
      <w:r w:rsidRPr="00D5308F">
        <w:rPr>
          <w:rFonts w:ascii="Times New Roman" w:hAnsi="Times New Roman" w:cs="Times New Roman"/>
          <w:sz w:val="26"/>
          <w:szCs w:val="26"/>
          <w:u w:val="single"/>
        </w:rPr>
        <w:t>name of victim</w:t>
      </w:r>
      <w:r w:rsidRPr="00511604">
        <w:rPr>
          <w:rFonts w:ascii="Times New Roman" w:hAnsi="Times New Roman" w:cs="Times New Roman"/>
          <w:sz w:val="26"/>
          <w:szCs w:val="26"/>
        </w:rPr>
        <w:t>).</w:t>
      </w:r>
    </w:p>
    <w:p w14:paraId="56FD8DA9" w14:textId="264886DE" w:rsidR="00511604" w:rsidRPr="00D5308F" w:rsidRDefault="00511604" w:rsidP="00D5308F">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511604">
        <w:rPr>
          <w:rFonts w:ascii="Times New Roman" w:hAnsi="Times New Roman" w:cs="Times New Roman"/>
          <w:sz w:val="26"/>
          <w:szCs w:val="26"/>
        </w:rPr>
        <w:t>“Sexual contact” is defined as (</w:t>
      </w:r>
      <w:r w:rsidRPr="00D5308F">
        <w:rPr>
          <w:rFonts w:ascii="Times New Roman" w:hAnsi="Times New Roman" w:cs="Times New Roman"/>
          <w:sz w:val="26"/>
          <w:szCs w:val="26"/>
          <w:u w:val="single"/>
        </w:rPr>
        <w:t>insert the applicable definition set forth in Wis JI–Criminal 2101A</w:t>
      </w:r>
      <w:r w:rsidRPr="00511604">
        <w:rPr>
          <w:rFonts w:ascii="Times New Roman" w:hAnsi="Times New Roman" w:cs="Times New Roman"/>
          <w:sz w:val="26"/>
          <w:szCs w:val="26"/>
        </w:rPr>
        <w:t>).</w:t>
      </w:r>
      <w:r w:rsidR="00D5308F">
        <w:rPr>
          <w:rFonts w:ascii="Times New Roman" w:hAnsi="Times New Roman" w:cs="Times New Roman"/>
          <w:sz w:val="26"/>
          <w:szCs w:val="26"/>
          <w:vertAlign w:val="superscript"/>
        </w:rPr>
        <w:t>1</w:t>
      </w:r>
    </w:p>
    <w:p w14:paraId="5830633C" w14:textId="64B585CA" w:rsidR="00511604" w:rsidRPr="00D5308F" w:rsidRDefault="00511604" w:rsidP="00D5308F">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511604">
        <w:rPr>
          <w:rFonts w:ascii="Times New Roman" w:hAnsi="Times New Roman" w:cs="Times New Roman"/>
          <w:sz w:val="26"/>
          <w:szCs w:val="26"/>
        </w:rPr>
        <w:t>2.</w:t>
      </w:r>
      <w:r w:rsidRPr="00511604">
        <w:rPr>
          <w:rFonts w:ascii="Times New Roman" w:hAnsi="Times New Roman" w:cs="Times New Roman"/>
          <w:sz w:val="26"/>
          <w:szCs w:val="26"/>
        </w:rPr>
        <w:tab/>
        <w:t>The defendant acted with intent to (become sexually aroused or gratified) (sexually degrade or humiliate (</w:t>
      </w:r>
      <w:r w:rsidRPr="00D5308F">
        <w:rPr>
          <w:rFonts w:ascii="Times New Roman" w:hAnsi="Times New Roman" w:cs="Times New Roman"/>
          <w:sz w:val="26"/>
          <w:szCs w:val="26"/>
          <w:u w:val="single"/>
        </w:rPr>
        <w:t>name of victim</w:t>
      </w:r>
      <w:r w:rsidRPr="00511604">
        <w:rPr>
          <w:rFonts w:ascii="Times New Roman" w:hAnsi="Times New Roman" w:cs="Times New Roman"/>
          <w:sz w:val="26"/>
          <w:szCs w:val="26"/>
        </w:rPr>
        <w:t>)).</w:t>
      </w:r>
      <w:r w:rsidR="00D5308F">
        <w:rPr>
          <w:rFonts w:ascii="Times New Roman" w:hAnsi="Times New Roman" w:cs="Times New Roman"/>
          <w:sz w:val="26"/>
          <w:szCs w:val="26"/>
          <w:vertAlign w:val="superscript"/>
        </w:rPr>
        <w:t>2</w:t>
      </w:r>
    </w:p>
    <w:p w14:paraId="535BE2A4" w14:textId="77777777" w:rsidR="00511604" w:rsidRPr="00511604" w:rsidRDefault="00511604" w:rsidP="00D5308F">
      <w:pPr>
        <w:pStyle w:val="NoSpacing"/>
        <w:tabs>
          <w:tab w:val="left" w:pos="900"/>
        </w:tabs>
        <w:spacing w:line="480" w:lineRule="auto"/>
        <w:ind w:left="900" w:hanging="450"/>
        <w:jc w:val="both"/>
        <w:rPr>
          <w:rFonts w:ascii="Times New Roman" w:hAnsi="Times New Roman" w:cs="Times New Roman"/>
          <w:sz w:val="26"/>
          <w:szCs w:val="26"/>
        </w:rPr>
      </w:pPr>
      <w:r w:rsidRPr="00511604">
        <w:rPr>
          <w:rFonts w:ascii="Times New Roman" w:hAnsi="Times New Roman" w:cs="Times New Roman"/>
          <w:sz w:val="26"/>
          <w:szCs w:val="26"/>
        </w:rPr>
        <w:t>3.</w:t>
      </w:r>
      <w:r w:rsidRPr="00511604">
        <w:rPr>
          <w:rFonts w:ascii="Times New Roman" w:hAnsi="Times New Roman" w:cs="Times New Roman"/>
          <w:sz w:val="26"/>
          <w:szCs w:val="26"/>
        </w:rPr>
        <w:tab/>
        <w:t>(</w:t>
      </w:r>
      <w:r w:rsidRPr="00D5308F">
        <w:rPr>
          <w:rFonts w:ascii="Times New Roman" w:hAnsi="Times New Roman" w:cs="Times New Roman"/>
          <w:sz w:val="26"/>
          <w:szCs w:val="26"/>
          <w:u w:val="single"/>
        </w:rPr>
        <w:t>Name of victim</w:t>
      </w:r>
      <w:r w:rsidRPr="00511604">
        <w:rPr>
          <w:rFonts w:ascii="Times New Roman" w:hAnsi="Times New Roman" w:cs="Times New Roman"/>
          <w:sz w:val="26"/>
          <w:szCs w:val="26"/>
        </w:rPr>
        <w:t>) was under the age of 16 years at the time of the alleged sexual contact.</w:t>
      </w:r>
    </w:p>
    <w:p w14:paraId="0712925C" w14:textId="5AAF0B7F" w:rsidR="00511604" w:rsidRPr="00D5308F" w:rsidRDefault="00511604" w:rsidP="00D5308F">
      <w:pPr>
        <w:pStyle w:val="NoSpacing"/>
        <w:spacing w:line="480" w:lineRule="auto"/>
        <w:ind w:left="900" w:firstLine="360"/>
        <w:jc w:val="both"/>
        <w:rPr>
          <w:rFonts w:ascii="Times New Roman" w:hAnsi="Times New Roman" w:cs="Times New Roman"/>
          <w:sz w:val="26"/>
          <w:szCs w:val="26"/>
          <w:vertAlign w:val="superscript"/>
        </w:rPr>
      </w:pPr>
      <w:r w:rsidRPr="00511604">
        <w:rPr>
          <w:rFonts w:ascii="Times New Roman" w:hAnsi="Times New Roman" w:cs="Times New Roman"/>
          <w:sz w:val="26"/>
          <w:szCs w:val="26"/>
        </w:rPr>
        <w:lastRenderedPageBreak/>
        <w:t>Knowledge of (</w:t>
      </w:r>
      <w:r w:rsidRPr="00D5308F">
        <w:rPr>
          <w:rFonts w:ascii="Times New Roman" w:hAnsi="Times New Roman" w:cs="Times New Roman"/>
          <w:sz w:val="26"/>
          <w:szCs w:val="26"/>
          <w:u w:val="single"/>
        </w:rPr>
        <w:t>name of victim</w:t>
      </w:r>
      <w:r w:rsidRPr="00511604">
        <w:rPr>
          <w:rFonts w:ascii="Times New Roman" w:hAnsi="Times New Roman" w:cs="Times New Roman"/>
          <w:sz w:val="26"/>
          <w:szCs w:val="26"/>
        </w:rPr>
        <w:t>)’s age is not required</w:t>
      </w:r>
      <w:r w:rsidR="00D5308F">
        <w:rPr>
          <w:rFonts w:ascii="Times New Roman" w:hAnsi="Times New Roman" w:cs="Times New Roman"/>
          <w:sz w:val="26"/>
          <w:szCs w:val="26"/>
          <w:vertAlign w:val="superscript"/>
        </w:rPr>
        <w:t>3</w:t>
      </w:r>
      <w:r w:rsidRPr="00511604">
        <w:rPr>
          <w:rFonts w:ascii="Times New Roman" w:hAnsi="Times New Roman" w:cs="Times New Roman"/>
          <w:sz w:val="26"/>
          <w:szCs w:val="26"/>
        </w:rPr>
        <w:t xml:space="preserve"> and mistake regarding (</w:t>
      </w:r>
      <w:r w:rsidRPr="00D5308F">
        <w:rPr>
          <w:rFonts w:ascii="Times New Roman" w:hAnsi="Times New Roman" w:cs="Times New Roman"/>
          <w:sz w:val="26"/>
          <w:szCs w:val="26"/>
          <w:u w:val="single"/>
        </w:rPr>
        <w:t>name of victim</w:t>
      </w:r>
      <w:r w:rsidRPr="00511604">
        <w:rPr>
          <w:rFonts w:ascii="Times New Roman" w:hAnsi="Times New Roman" w:cs="Times New Roman"/>
          <w:sz w:val="26"/>
          <w:szCs w:val="26"/>
        </w:rPr>
        <w:t>)’s age is not a defense.</w:t>
      </w:r>
      <w:r w:rsidR="00D5308F">
        <w:rPr>
          <w:rFonts w:ascii="Times New Roman" w:hAnsi="Times New Roman" w:cs="Times New Roman"/>
          <w:sz w:val="26"/>
          <w:szCs w:val="26"/>
          <w:vertAlign w:val="superscript"/>
        </w:rPr>
        <w:t>4</w:t>
      </w:r>
    </w:p>
    <w:p w14:paraId="6E8592A9" w14:textId="56B591BB" w:rsidR="00511604" w:rsidRPr="00D5308F" w:rsidRDefault="00511604" w:rsidP="00D5308F">
      <w:pPr>
        <w:pStyle w:val="NoSpacing"/>
        <w:spacing w:line="480" w:lineRule="auto"/>
        <w:ind w:left="900" w:firstLine="360"/>
        <w:jc w:val="both"/>
        <w:rPr>
          <w:rFonts w:ascii="Times New Roman" w:hAnsi="Times New Roman" w:cs="Times New Roman"/>
          <w:sz w:val="26"/>
          <w:szCs w:val="26"/>
          <w:vertAlign w:val="superscript"/>
        </w:rPr>
      </w:pPr>
      <w:r w:rsidRPr="00511604">
        <w:rPr>
          <w:rFonts w:ascii="Times New Roman" w:hAnsi="Times New Roman" w:cs="Times New Roman"/>
          <w:sz w:val="26"/>
          <w:szCs w:val="26"/>
        </w:rPr>
        <w:t>Consent to sexual contact is not a defense.</w:t>
      </w:r>
      <w:r w:rsidR="00D5308F">
        <w:rPr>
          <w:rFonts w:ascii="Times New Roman" w:hAnsi="Times New Roman" w:cs="Times New Roman"/>
          <w:sz w:val="26"/>
          <w:szCs w:val="26"/>
          <w:vertAlign w:val="superscript"/>
        </w:rPr>
        <w:t>5</w:t>
      </w:r>
    </w:p>
    <w:p w14:paraId="155842ED" w14:textId="0EA48FEC" w:rsidR="00511604" w:rsidRPr="00D5308F" w:rsidRDefault="00511604" w:rsidP="00D5308F">
      <w:pPr>
        <w:pStyle w:val="NoSpacing"/>
        <w:spacing w:line="480" w:lineRule="auto"/>
        <w:jc w:val="center"/>
        <w:rPr>
          <w:rFonts w:ascii="Times New Roman" w:hAnsi="Times New Roman" w:cs="Times New Roman"/>
          <w:b/>
          <w:bCs/>
          <w:sz w:val="26"/>
          <w:szCs w:val="26"/>
        </w:rPr>
      </w:pPr>
      <w:r w:rsidRPr="00D5308F">
        <w:rPr>
          <w:rFonts w:ascii="Times New Roman" w:hAnsi="Times New Roman" w:cs="Times New Roman"/>
          <w:b/>
          <w:bCs/>
          <w:sz w:val="26"/>
          <w:szCs w:val="26"/>
        </w:rPr>
        <w:t>Jury’s Decision</w:t>
      </w:r>
    </w:p>
    <w:p w14:paraId="760C365E" w14:textId="77777777" w:rsidR="00511604" w:rsidRPr="00511604" w:rsidRDefault="00511604" w:rsidP="00D5308F">
      <w:pPr>
        <w:pStyle w:val="NoSpacing"/>
        <w:spacing w:line="480" w:lineRule="auto"/>
        <w:ind w:firstLine="450"/>
        <w:jc w:val="both"/>
        <w:rPr>
          <w:rFonts w:ascii="Times New Roman" w:hAnsi="Times New Roman" w:cs="Times New Roman"/>
          <w:sz w:val="26"/>
          <w:szCs w:val="26"/>
        </w:rPr>
      </w:pPr>
      <w:r w:rsidRPr="00511604">
        <w:rPr>
          <w:rFonts w:ascii="Times New Roman" w:hAnsi="Times New Roman" w:cs="Times New Roman"/>
          <w:sz w:val="26"/>
          <w:szCs w:val="26"/>
        </w:rPr>
        <w:t>If you are satisfied beyond a reasonable doubt that all three elements of this offense have been proved, you should find the defendant guilty.</w:t>
      </w:r>
    </w:p>
    <w:p w14:paraId="4D8E9DCC" w14:textId="77777777" w:rsidR="00511604" w:rsidRPr="00511604" w:rsidRDefault="00511604" w:rsidP="00D5308F">
      <w:pPr>
        <w:pStyle w:val="NoSpacing"/>
        <w:spacing w:line="480" w:lineRule="auto"/>
        <w:ind w:firstLine="450"/>
        <w:jc w:val="both"/>
        <w:rPr>
          <w:rFonts w:ascii="Times New Roman" w:hAnsi="Times New Roman" w:cs="Times New Roman"/>
          <w:sz w:val="26"/>
          <w:szCs w:val="26"/>
        </w:rPr>
      </w:pPr>
      <w:r w:rsidRPr="00511604">
        <w:rPr>
          <w:rFonts w:ascii="Times New Roman" w:hAnsi="Times New Roman" w:cs="Times New Roman"/>
          <w:sz w:val="26"/>
          <w:szCs w:val="26"/>
        </w:rPr>
        <w:t>If you are not so satisfied, you must find the defendant not guilty.</w:t>
      </w:r>
    </w:p>
    <w:p w14:paraId="6365285E" w14:textId="003403EB" w:rsidR="00511604" w:rsidRDefault="00511604" w:rsidP="00511604">
      <w:pPr>
        <w:pStyle w:val="NoSpacing"/>
        <w:jc w:val="both"/>
        <w:rPr>
          <w:rFonts w:ascii="Times New Roman" w:hAnsi="Times New Roman" w:cs="Times New Roman"/>
          <w:sz w:val="26"/>
          <w:szCs w:val="26"/>
        </w:rPr>
      </w:pPr>
    </w:p>
    <w:p w14:paraId="668707D7" w14:textId="6544A928" w:rsidR="00D5308F" w:rsidRDefault="00D5308F" w:rsidP="00511604">
      <w:pPr>
        <w:pStyle w:val="NoSpacing"/>
        <w:jc w:val="both"/>
        <w:rPr>
          <w:rFonts w:ascii="Times New Roman" w:hAnsi="Times New Roman" w:cs="Times New Roman"/>
          <w:sz w:val="26"/>
          <w:szCs w:val="26"/>
        </w:rPr>
      </w:pPr>
    </w:p>
    <w:p w14:paraId="161A5AE5" w14:textId="0C1DC43C" w:rsidR="00D5308F" w:rsidRDefault="00D5308F" w:rsidP="00511604">
      <w:pPr>
        <w:pStyle w:val="NoSpacing"/>
        <w:jc w:val="both"/>
        <w:rPr>
          <w:rFonts w:ascii="Times New Roman" w:hAnsi="Times New Roman" w:cs="Times New Roman"/>
          <w:sz w:val="26"/>
          <w:szCs w:val="26"/>
        </w:rPr>
      </w:pPr>
    </w:p>
    <w:p w14:paraId="6CFDD862" w14:textId="77777777" w:rsidR="00D5308F" w:rsidRDefault="00D5308F" w:rsidP="00511604">
      <w:pPr>
        <w:pStyle w:val="NoSpacing"/>
        <w:jc w:val="both"/>
        <w:rPr>
          <w:rFonts w:ascii="Times New Roman" w:hAnsi="Times New Roman" w:cs="Times New Roman"/>
          <w:sz w:val="26"/>
          <w:szCs w:val="26"/>
        </w:rPr>
      </w:pPr>
    </w:p>
    <w:p w14:paraId="3E67D831" w14:textId="3BE53669" w:rsidR="00511604" w:rsidRPr="00511604" w:rsidRDefault="00511604" w:rsidP="00511604">
      <w:pPr>
        <w:pStyle w:val="NoSpacing"/>
        <w:jc w:val="both"/>
        <w:rPr>
          <w:rFonts w:ascii="Times New Roman" w:hAnsi="Times New Roman" w:cs="Times New Roman"/>
          <w:b/>
          <w:bCs/>
        </w:rPr>
      </w:pPr>
      <w:r w:rsidRPr="00511604">
        <w:rPr>
          <w:rFonts w:ascii="Times New Roman" w:hAnsi="Times New Roman" w:cs="Times New Roman"/>
          <w:b/>
          <w:bCs/>
        </w:rPr>
        <w:t>COMMENT</w:t>
      </w:r>
    </w:p>
    <w:p w14:paraId="30DD9842" w14:textId="77777777" w:rsidR="00511604" w:rsidRPr="00511604" w:rsidRDefault="00511604" w:rsidP="00511604">
      <w:pPr>
        <w:pStyle w:val="NoSpacing"/>
        <w:jc w:val="both"/>
        <w:rPr>
          <w:rFonts w:ascii="Times New Roman" w:hAnsi="Times New Roman" w:cs="Times New Roman"/>
        </w:rPr>
      </w:pPr>
    </w:p>
    <w:p w14:paraId="4026E841" w14:textId="0DFA1B18"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 xml:space="preserve">Wis JI–Criminal 2104 was originally published in 1989 as Wis JI Criminal 2104 [for sexual intercourse offenses] and Wis JI Criminal 2105 [for sexual contact offense]. It was revised in 1996 to combine the instructions as Wis JI Criminal 2104. The 2001 revision adopted a new format, made </w:t>
      </w:r>
      <w:proofErr w:type="spellStart"/>
      <w:r w:rsidRPr="00511604">
        <w:rPr>
          <w:rFonts w:ascii="Times New Roman" w:hAnsi="Times New Roman" w:cs="Times New Roman"/>
        </w:rPr>
        <w:t>nonsubstantive</w:t>
      </w:r>
      <w:proofErr w:type="spellEnd"/>
      <w:r w:rsidRPr="00511604">
        <w:rPr>
          <w:rFonts w:ascii="Times New Roman" w:hAnsi="Times New Roman" w:cs="Times New Roman"/>
        </w:rPr>
        <w:t xml:space="preserve"> changes to the text, and updated the Comment. The 2008 revision added a reference to 2007 Wisconsin Act 80 to the Comment. The 2018 revision reflected a change made by 2017 Wisconsin Act 174.  This revision was approved by the Committee in October 2025. It separated the instructions for sexual contact offenses from those for sexual intercourse offenses to clarify all essential elements, consistent with the Wisconsin Court of Appeals’ recommendation in </w:t>
      </w:r>
      <w:r w:rsidRPr="00D5308F">
        <w:rPr>
          <w:rFonts w:ascii="Times New Roman" w:hAnsi="Times New Roman" w:cs="Times New Roman"/>
          <w:u w:val="single"/>
        </w:rPr>
        <w:t>State v. Goth</w:t>
      </w:r>
      <w:r w:rsidRPr="00511604">
        <w:rPr>
          <w:rFonts w:ascii="Times New Roman" w:hAnsi="Times New Roman" w:cs="Times New Roman"/>
        </w:rPr>
        <w:t>, 2024 WI App 74, 15 N.W.3d 518 (unpublished).</w:t>
      </w:r>
    </w:p>
    <w:p w14:paraId="4EA7AB29" w14:textId="77777777" w:rsidR="00884F8A" w:rsidRDefault="00884F8A" w:rsidP="00D5308F">
      <w:pPr>
        <w:pStyle w:val="NoSpacing"/>
        <w:ind w:firstLine="450"/>
        <w:jc w:val="both"/>
        <w:rPr>
          <w:rFonts w:ascii="Times New Roman" w:hAnsi="Times New Roman" w:cs="Times New Roman"/>
        </w:rPr>
      </w:pPr>
    </w:p>
    <w:p w14:paraId="7C0CFCC2" w14:textId="4DFF1A7A" w:rsidR="00511604" w:rsidRPr="00511604" w:rsidRDefault="00884F8A" w:rsidP="00D5308F">
      <w:pPr>
        <w:pStyle w:val="NoSpacing"/>
        <w:ind w:firstLine="450"/>
        <w:jc w:val="both"/>
        <w:rPr>
          <w:rFonts w:ascii="Times New Roman" w:hAnsi="Times New Roman" w:cs="Times New Roman"/>
        </w:rPr>
      </w:pPr>
      <w:r w:rsidRPr="00884F8A">
        <w:rPr>
          <w:rFonts w:ascii="Times New Roman" w:hAnsi="Times New Roman" w:cs="Times New Roman"/>
        </w:rPr>
        <w:t>This instruction is for the type of second-degree sexual assault of a child defined by § 948.02(2): sexual contact with a person who has not attained the age of 16 years.</w:t>
      </w:r>
    </w:p>
    <w:p w14:paraId="19499BFC" w14:textId="77777777" w:rsidR="00511604" w:rsidRPr="00511604" w:rsidRDefault="00511604" w:rsidP="00511604">
      <w:pPr>
        <w:pStyle w:val="NoSpacing"/>
        <w:jc w:val="both"/>
        <w:rPr>
          <w:rFonts w:ascii="Times New Roman" w:hAnsi="Times New Roman" w:cs="Times New Roman"/>
        </w:rPr>
      </w:pPr>
    </w:p>
    <w:p w14:paraId="37F1CF9D" w14:textId="77777777"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For an instruction addressing violations of Wis. Stat. § 948.02(2) involving “sexual intercourse,” see Wis JI–Criminal 2104A.</w:t>
      </w:r>
    </w:p>
    <w:p w14:paraId="52B6954C" w14:textId="77777777" w:rsidR="00511604" w:rsidRPr="00511604" w:rsidRDefault="00511604" w:rsidP="00511604">
      <w:pPr>
        <w:pStyle w:val="NoSpacing"/>
        <w:jc w:val="both"/>
        <w:rPr>
          <w:rFonts w:ascii="Times New Roman" w:hAnsi="Times New Roman" w:cs="Times New Roman"/>
        </w:rPr>
      </w:pPr>
    </w:p>
    <w:p w14:paraId="418A6797" w14:textId="2A18FF18"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Section 948.02(2) was amended by 2017 Wisconsin Act 174 [effective date: March 30, 2018] to add the following:</w:t>
      </w:r>
      <w:r w:rsidR="00D5308F">
        <w:rPr>
          <w:rFonts w:ascii="Times New Roman" w:hAnsi="Times New Roman" w:cs="Times New Roman"/>
        </w:rPr>
        <w:t xml:space="preserve"> </w:t>
      </w:r>
      <w:r w:rsidRPr="00511604">
        <w:rPr>
          <w:rFonts w:ascii="Times New Roman" w:hAnsi="Times New Roman" w:cs="Times New Roman"/>
        </w:rPr>
        <w:t xml:space="preserve">“This section does not apply if s. 948.093 applies.” Section 948.093, Underage sexual activity, applies to sexual activity by a defendant who has not attained the age of 19. The Committee concluded that any factual discrepancies regarding the applicability of § 948.093 would likely be resolved before trial and in any event should be treated in the same manner as statutory exceptions. The Committee’s judgment has been that statutory exceptions are best addressed as follows. The question whether an exception applies is not an issue in the case until there is some evidence of that fact. Once there is evidence sufficient to raise that issue, the burden is on the state to prove beyond a reasonable doubt that the exception </w:t>
      </w:r>
      <w:r w:rsidRPr="00511604">
        <w:rPr>
          <w:rFonts w:ascii="Times New Roman" w:hAnsi="Times New Roman" w:cs="Times New Roman"/>
        </w:rPr>
        <w:lastRenderedPageBreak/>
        <w:t>does not apply. See the Comment to Wis JI Criminal 1335B explaining the application of this approach to exceptions to the prohibition on carrying a concealed weapon.</w:t>
      </w:r>
    </w:p>
    <w:p w14:paraId="06D224AA" w14:textId="77777777" w:rsidR="00511604" w:rsidRPr="00511604" w:rsidRDefault="00511604" w:rsidP="00511604">
      <w:pPr>
        <w:pStyle w:val="NoSpacing"/>
        <w:jc w:val="both"/>
        <w:rPr>
          <w:rFonts w:ascii="Times New Roman" w:hAnsi="Times New Roman" w:cs="Times New Roman"/>
        </w:rPr>
      </w:pPr>
    </w:p>
    <w:p w14:paraId="46D53279" w14:textId="3BD7DCF0"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2008 Wisconsin Act 80 made significant changes in subsection (1) of § 948.02(2). Subsection (2) was not affected.</w:t>
      </w:r>
    </w:p>
    <w:p w14:paraId="7BFE25F1" w14:textId="77777777" w:rsidR="00511604" w:rsidRPr="00511604" w:rsidRDefault="00511604" w:rsidP="00511604">
      <w:pPr>
        <w:pStyle w:val="NoSpacing"/>
        <w:jc w:val="both"/>
        <w:rPr>
          <w:rFonts w:ascii="Times New Roman" w:hAnsi="Times New Roman" w:cs="Times New Roman"/>
        </w:rPr>
      </w:pPr>
    </w:p>
    <w:p w14:paraId="60029485" w14:textId="77777777"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Section 939.66(2p), created by 2005 Wisconsin Act 430, provides that a “crime which is a less serious or equally serious type of violation under s. 948.02 than the one charged” is a lesser included crime.</w:t>
      </w:r>
    </w:p>
    <w:p w14:paraId="5E08A9D3" w14:textId="77777777" w:rsidR="00511604" w:rsidRPr="00511604" w:rsidRDefault="00511604" w:rsidP="00511604">
      <w:pPr>
        <w:pStyle w:val="NoSpacing"/>
        <w:jc w:val="both"/>
        <w:rPr>
          <w:rFonts w:ascii="Times New Roman" w:hAnsi="Times New Roman" w:cs="Times New Roman"/>
        </w:rPr>
      </w:pPr>
    </w:p>
    <w:p w14:paraId="0D67F8FE" w14:textId="18F2294F"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The revised instruction provides for inserting definitions of “sexual contact” and “sexual intercourse” provided in Wis JI Criminal 2101A and 2101B. That definitional material was formerly included in the text of each offense instruction. When a new alternative was added to the statutory definition of sexual contact by 1995 Wisconsin Act 69, the Committee decided to modify its original approach by providing separate instructions for the definitions. The Committee believes that this will be more convenient to the users of the instructions, making it easier to prepare an instruction that is tailored to the facts of the case.</w:t>
      </w:r>
    </w:p>
    <w:p w14:paraId="68C7ECFB" w14:textId="77777777" w:rsidR="00511604" w:rsidRPr="00511604" w:rsidRDefault="00511604" w:rsidP="00511604">
      <w:pPr>
        <w:pStyle w:val="NoSpacing"/>
        <w:jc w:val="both"/>
        <w:rPr>
          <w:rFonts w:ascii="Times New Roman" w:hAnsi="Times New Roman" w:cs="Times New Roman"/>
        </w:rPr>
      </w:pPr>
    </w:p>
    <w:p w14:paraId="58DB48AD" w14:textId="7B1A1E24"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 xml:space="preserve">Second degree sexual assault of a child under § 948.02(2) is a lesser included offense of </w:t>
      </w:r>
      <w:r w:rsidR="00D5308F" w:rsidRPr="00511604">
        <w:rPr>
          <w:rFonts w:ascii="Times New Roman" w:hAnsi="Times New Roman" w:cs="Times New Roman"/>
        </w:rPr>
        <w:t>first-degree</w:t>
      </w:r>
      <w:r w:rsidRPr="00511604">
        <w:rPr>
          <w:rFonts w:ascii="Times New Roman" w:hAnsi="Times New Roman" w:cs="Times New Roman"/>
        </w:rPr>
        <w:t xml:space="preserve"> sexual assault of a child under § 948.02(1) and is properly submitted when the evidence supports a reasonable doubt about the child’s age.  </w:t>
      </w:r>
      <w:r w:rsidRPr="00D5308F">
        <w:rPr>
          <w:rFonts w:ascii="Times New Roman" w:hAnsi="Times New Roman" w:cs="Times New Roman"/>
          <w:u w:val="single"/>
        </w:rPr>
        <w:t xml:space="preserve">State v. </w:t>
      </w:r>
      <w:proofErr w:type="spellStart"/>
      <w:r w:rsidRPr="00D5308F">
        <w:rPr>
          <w:rFonts w:ascii="Times New Roman" w:hAnsi="Times New Roman" w:cs="Times New Roman"/>
          <w:u w:val="single"/>
        </w:rPr>
        <w:t>Moua</w:t>
      </w:r>
      <w:proofErr w:type="spellEnd"/>
      <w:r w:rsidRPr="00511604">
        <w:rPr>
          <w:rFonts w:ascii="Times New Roman" w:hAnsi="Times New Roman" w:cs="Times New Roman"/>
        </w:rPr>
        <w:t>, 215 Wis.</w:t>
      </w:r>
      <w:r w:rsidR="00CE41C0">
        <w:rPr>
          <w:rFonts w:ascii="Times New Roman" w:hAnsi="Times New Roman" w:cs="Times New Roman"/>
        </w:rPr>
        <w:t xml:space="preserve"> </w:t>
      </w:r>
      <w:r w:rsidRPr="00511604">
        <w:rPr>
          <w:rFonts w:ascii="Times New Roman" w:hAnsi="Times New Roman" w:cs="Times New Roman"/>
        </w:rPr>
        <w:t>2d 511, 573 N.W.2d 202 (Ct. App. 1997).</w:t>
      </w:r>
    </w:p>
    <w:p w14:paraId="6F7FF979" w14:textId="77777777" w:rsidR="00511604" w:rsidRPr="00511604" w:rsidRDefault="00511604" w:rsidP="00511604">
      <w:pPr>
        <w:pStyle w:val="NoSpacing"/>
        <w:jc w:val="both"/>
        <w:rPr>
          <w:rFonts w:ascii="Times New Roman" w:hAnsi="Times New Roman" w:cs="Times New Roman"/>
        </w:rPr>
      </w:pPr>
    </w:p>
    <w:p w14:paraId="1B9294FD" w14:textId="2DB45B2A"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 xml:space="preserve">Prohibiting consensual sexual activity with a person under the age of 16 does not violate an adult defendant’s alleged “constitutional privacy right to engage in sexual activity and his privacy right to make decisions regarding procreation.”  </w:t>
      </w:r>
      <w:r w:rsidRPr="00D5308F">
        <w:rPr>
          <w:rFonts w:ascii="Times New Roman" w:hAnsi="Times New Roman" w:cs="Times New Roman"/>
          <w:u w:val="single"/>
        </w:rPr>
        <w:t>State v. Fisher</w:t>
      </w:r>
      <w:r w:rsidRPr="00511604">
        <w:rPr>
          <w:rFonts w:ascii="Times New Roman" w:hAnsi="Times New Roman" w:cs="Times New Roman"/>
        </w:rPr>
        <w:t>, 211 Wis.</w:t>
      </w:r>
      <w:r w:rsidR="00CE41C0">
        <w:rPr>
          <w:rFonts w:ascii="Times New Roman" w:hAnsi="Times New Roman" w:cs="Times New Roman"/>
        </w:rPr>
        <w:t xml:space="preserve"> </w:t>
      </w:r>
      <w:r w:rsidRPr="00511604">
        <w:rPr>
          <w:rFonts w:ascii="Times New Roman" w:hAnsi="Times New Roman" w:cs="Times New Roman"/>
        </w:rPr>
        <w:t>2d 665, 668, 565 N.W.2d 565 (Ct. App. 1997).</w:t>
      </w:r>
    </w:p>
    <w:p w14:paraId="616A7577" w14:textId="77777777" w:rsidR="00511604" w:rsidRPr="00511604" w:rsidRDefault="00511604" w:rsidP="00511604">
      <w:pPr>
        <w:pStyle w:val="NoSpacing"/>
        <w:jc w:val="both"/>
        <w:rPr>
          <w:rFonts w:ascii="Times New Roman" w:hAnsi="Times New Roman" w:cs="Times New Roman"/>
        </w:rPr>
      </w:pPr>
    </w:p>
    <w:p w14:paraId="4C2941FA" w14:textId="77777777" w:rsidR="00511604" w:rsidRPr="00511604" w:rsidRDefault="00511604" w:rsidP="00D5308F">
      <w:pPr>
        <w:pStyle w:val="NoSpacing"/>
        <w:tabs>
          <w:tab w:val="left" w:pos="900"/>
        </w:tabs>
        <w:ind w:firstLine="450"/>
        <w:jc w:val="both"/>
        <w:rPr>
          <w:rFonts w:ascii="Times New Roman" w:hAnsi="Times New Roman" w:cs="Times New Roman"/>
        </w:rPr>
      </w:pPr>
      <w:r w:rsidRPr="00511604">
        <w:rPr>
          <w:rFonts w:ascii="Times New Roman" w:hAnsi="Times New Roman" w:cs="Times New Roman"/>
        </w:rPr>
        <w:t>1.</w:t>
      </w:r>
      <w:r w:rsidRPr="00511604">
        <w:rPr>
          <w:rFonts w:ascii="Times New Roman" w:hAnsi="Times New Roman" w:cs="Times New Roman"/>
        </w:rPr>
        <w:tab/>
        <w:t>The appropriate definition of “sexual contact” should be selected from the alternatives provided in Wis JI–Criminal 2101A, based on the specific facts of the case.</w:t>
      </w:r>
    </w:p>
    <w:p w14:paraId="65D4F54D" w14:textId="77777777" w:rsidR="00511604" w:rsidRPr="00511604" w:rsidRDefault="00511604" w:rsidP="00511604">
      <w:pPr>
        <w:pStyle w:val="NoSpacing"/>
        <w:jc w:val="both"/>
        <w:rPr>
          <w:rFonts w:ascii="Times New Roman" w:hAnsi="Times New Roman" w:cs="Times New Roman"/>
        </w:rPr>
      </w:pPr>
    </w:p>
    <w:p w14:paraId="35D370E0" w14:textId="77777777" w:rsidR="00511604" w:rsidRPr="00511604" w:rsidRDefault="00511604" w:rsidP="00D5308F">
      <w:pPr>
        <w:pStyle w:val="NoSpacing"/>
        <w:tabs>
          <w:tab w:val="left" w:pos="900"/>
        </w:tabs>
        <w:ind w:firstLine="450"/>
        <w:jc w:val="both"/>
        <w:rPr>
          <w:rFonts w:ascii="Times New Roman" w:hAnsi="Times New Roman" w:cs="Times New Roman"/>
        </w:rPr>
      </w:pPr>
      <w:r w:rsidRPr="00511604">
        <w:rPr>
          <w:rFonts w:ascii="Times New Roman" w:hAnsi="Times New Roman" w:cs="Times New Roman"/>
        </w:rPr>
        <w:t>2.</w:t>
      </w:r>
      <w:r w:rsidRPr="00511604">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0B9E1C6B" w14:textId="77777777" w:rsidR="00511604" w:rsidRPr="00511604" w:rsidRDefault="00511604" w:rsidP="00511604">
      <w:pPr>
        <w:pStyle w:val="NoSpacing"/>
        <w:jc w:val="both"/>
        <w:rPr>
          <w:rFonts w:ascii="Times New Roman" w:hAnsi="Times New Roman" w:cs="Times New Roman"/>
        </w:rPr>
      </w:pPr>
    </w:p>
    <w:p w14:paraId="4BB4DC95" w14:textId="77777777"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 xml:space="preserve">However, as the court of appeals observed in </w:t>
      </w:r>
      <w:r w:rsidRPr="00D5308F">
        <w:rPr>
          <w:rFonts w:ascii="Times New Roman" w:hAnsi="Times New Roman" w:cs="Times New Roman"/>
          <w:u w:val="single"/>
        </w:rPr>
        <w:t>State v. Goth</w:t>
      </w:r>
      <w:r w:rsidRPr="00511604">
        <w:rPr>
          <w:rFonts w:ascii="Times New Roman" w:hAnsi="Times New Roman" w:cs="Times New Roman"/>
        </w:rPr>
        <w:t xml:space="preserve">, 2024 WI App 74, 15 N.W.3d 518 (unpublished), this structural approach did not comply with the court’s earlier holding in </w:t>
      </w:r>
      <w:r w:rsidRPr="00D5308F">
        <w:rPr>
          <w:rFonts w:ascii="Times New Roman" w:hAnsi="Times New Roman" w:cs="Times New Roman"/>
          <w:u w:val="single"/>
        </w:rPr>
        <w:t xml:space="preserve">State v. </w:t>
      </w:r>
      <w:proofErr w:type="spellStart"/>
      <w:r w:rsidRPr="00D5308F">
        <w:rPr>
          <w:rFonts w:ascii="Times New Roman" w:hAnsi="Times New Roman" w:cs="Times New Roman"/>
          <w:u w:val="single"/>
        </w:rPr>
        <w:t>Jipson</w:t>
      </w:r>
      <w:proofErr w:type="spellEnd"/>
      <w:r w:rsidRPr="00511604">
        <w:rPr>
          <w:rFonts w:ascii="Times New Roman" w:hAnsi="Times New Roman" w:cs="Times New Roman"/>
        </w:rPr>
        <w:t xml:space="preserve">, 2003 WI App 222, ¶¶9–10 &amp; n.4, 267 Wis. 2d 467, 671 N.W.2d 18. In </w:t>
      </w:r>
      <w:proofErr w:type="spellStart"/>
      <w:r w:rsidRPr="00D5308F">
        <w:rPr>
          <w:rFonts w:ascii="Times New Roman" w:hAnsi="Times New Roman" w:cs="Times New Roman"/>
          <w:u w:val="single"/>
        </w:rPr>
        <w:t>Jipson</w:t>
      </w:r>
      <w:proofErr w:type="spellEnd"/>
      <w:r w:rsidRPr="00511604">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747F244E" w14:textId="77777777" w:rsidR="00511604" w:rsidRPr="00511604" w:rsidRDefault="00511604" w:rsidP="00511604">
      <w:pPr>
        <w:pStyle w:val="NoSpacing"/>
        <w:jc w:val="both"/>
        <w:rPr>
          <w:rFonts w:ascii="Times New Roman" w:hAnsi="Times New Roman" w:cs="Times New Roman"/>
        </w:rPr>
      </w:pPr>
    </w:p>
    <w:p w14:paraId="4CA0BEEB" w14:textId="77777777"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4DC91D81" w14:textId="77777777" w:rsidR="00511604" w:rsidRPr="00511604" w:rsidRDefault="00511604" w:rsidP="00511604">
      <w:pPr>
        <w:pStyle w:val="NoSpacing"/>
        <w:jc w:val="both"/>
        <w:rPr>
          <w:rFonts w:ascii="Times New Roman" w:hAnsi="Times New Roman" w:cs="Times New Roman"/>
        </w:rPr>
      </w:pPr>
    </w:p>
    <w:p w14:paraId="377DB96D" w14:textId="77777777" w:rsidR="00511604" w:rsidRPr="00511604" w:rsidRDefault="00511604" w:rsidP="00D5308F">
      <w:pPr>
        <w:pStyle w:val="NoSpacing"/>
        <w:tabs>
          <w:tab w:val="left" w:pos="900"/>
        </w:tabs>
        <w:ind w:firstLine="450"/>
        <w:jc w:val="both"/>
        <w:rPr>
          <w:rFonts w:ascii="Times New Roman" w:hAnsi="Times New Roman" w:cs="Times New Roman"/>
        </w:rPr>
      </w:pPr>
      <w:r w:rsidRPr="00511604">
        <w:rPr>
          <w:rFonts w:ascii="Times New Roman" w:hAnsi="Times New Roman" w:cs="Times New Roman"/>
        </w:rPr>
        <w:t>3.</w:t>
      </w:r>
      <w:r w:rsidRPr="00511604">
        <w:rPr>
          <w:rFonts w:ascii="Times New Roman" w:hAnsi="Times New Roman" w:cs="Times New Roman"/>
        </w:rPr>
        <w:tab/>
        <w:t>See § 939.23(6).</w:t>
      </w:r>
    </w:p>
    <w:p w14:paraId="6D3F6316" w14:textId="77777777" w:rsidR="00511604" w:rsidRPr="00511604" w:rsidRDefault="00511604" w:rsidP="00511604">
      <w:pPr>
        <w:pStyle w:val="NoSpacing"/>
        <w:jc w:val="both"/>
        <w:rPr>
          <w:rFonts w:ascii="Times New Roman" w:hAnsi="Times New Roman" w:cs="Times New Roman"/>
        </w:rPr>
      </w:pPr>
    </w:p>
    <w:p w14:paraId="33C930B0" w14:textId="77777777" w:rsidR="00511604" w:rsidRPr="00511604" w:rsidRDefault="00511604" w:rsidP="00D5308F">
      <w:pPr>
        <w:pStyle w:val="NoSpacing"/>
        <w:tabs>
          <w:tab w:val="left" w:pos="900"/>
        </w:tabs>
        <w:ind w:firstLine="450"/>
        <w:jc w:val="both"/>
        <w:rPr>
          <w:rFonts w:ascii="Times New Roman" w:hAnsi="Times New Roman" w:cs="Times New Roman"/>
        </w:rPr>
      </w:pPr>
      <w:r w:rsidRPr="00511604">
        <w:rPr>
          <w:rFonts w:ascii="Times New Roman" w:hAnsi="Times New Roman" w:cs="Times New Roman"/>
        </w:rPr>
        <w:t>4.</w:t>
      </w:r>
      <w:r w:rsidRPr="00511604">
        <w:rPr>
          <w:rFonts w:ascii="Times New Roman" w:hAnsi="Times New Roman" w:cs="Times New Roman"/>
        </w:rPr>
        <w:tab/>
        <w:t>See § 939.43(2).</w:t>
      </w:r>
    </w:p>
    <w:p w14:paraId="485DA6C7" w14:textId="77777777" w:rsidR="00511604" w:rsidRPr="00511604" w:rsidRDefault="00511604" w:rsidP="00511604">
      <w:pPr>
        <w:pStyle w:val="NoSpacing"/>
        <w:jc w:val="both"/>
        <w:rPr>
          <w:rFonts w:ascii="Times New Roman" w:hAnsi="Times New Roman" w:cs="Times New Roman"/>
        </w:rPr>
      </w:pPr>
    </w:p>
    <w:p w14:paraId="4BD40E23" w14:textId="34033AA6" w:rsidR="00511604" w:rsidRPr="00511604" w:rsidRDefault="00511604" w:rsidP="00D5308F">
      <w:pPr>
        <w:pStyle w:val="NoSpacing"/>
        <w:ind w:firstLine="450"/>
        <w:jc w:val="both"/>
        <w:rPr>
          <w:rFonts w:ascii="Times New Roman" w:hAnsi="Times New Roman" w:cs="Times New Roman"/>
        </w:rPr>
      </w:pPr>
      <w:r w:rsidRPr="00511604">
        <w:rPr>
          <w:rFonts w:ascii="Times New Roman" w:hAnsi="Times New Roman" w:cs="Times New Roman"/>
        </w:rPr>
        <w:t xml:space="preserve">In </w:t>
      </w:r>
      <w:r w:rsidRPr="00D5308F">
        <w:rPr>
          <w:rFonts w:ascii="Times New Roman" w:hAnsi="Times New Roman" w:cs="Times New Roman"/>
          <w:u w:val="single"/>
        </w:rPr>
        <w:t xml:space="preserve">State v. </w:t>
      </w:r>
      <w:proofErr w:type="spellStart"/>
      <w:r w:rsidRPr="00D5308F">
        <w:rPr>
          <w:rFonts w:ascii="Times New Roman" w:hAnsi="Times New Roman" w:cs="Times New Roman"/>
          <w:u w:val="single"/>
        </w:rPr>
        <w:t>Jadowski</w:t>
      </w:r>
      <w:proofErr w:type="spellEnd"/>
      <w:r w:rsidRPr="00511604">
        <w:rPr>
          <w:rFonts w:ascii="Times New Roman" w:hAnsi="Times New Roman" w:cs="Times New Roman"/>
        </w:rPr>
        <w:t>, 2004 WI 68, 272 Wis.</w:t>
      </w:r>
      <w:r w:rsidR="00CE41C0">
        <w:rPr>
          <w:rFonts w:ascii="Times New Roman" w:hAnsi="Times New Roman" w:cs="Times New Roman"/>
        </w:rPr>
        <w:t xml:space="preserve"> </w:t>
      </w:r>
      <w:r w:rsidRPr="00511604">
        <w:rPr>
          <w:rFonts w:ascii="Times New Roman" w:hAnsi="Times New Roman" w:cs="Times New Roman"/>
        </w:rPr>
        <w:t xml:space="preserve">2d 418, 680 N.W.2d 810, the court held that “no affirmative defense of the victim’s intentional misrepresentation of his or her age exists in a prosecution </w:t>
      </w:r>
      <w:r w:rsidRPr="00511604">
        <w:rPr>
          <w:rFonts w:ascii="Times New Roman" w:hAnsi="Times New Roman" w:cs="Times New Roman"/>
        </w:rPr>
        <w:lastRenderedPageBreak/>
        <w:t>under § 948.02(</w:t>
      </w:r>
      <w:r w:rsidR="00D5308F" w:rsidRPr="00511604">
        <w:rPr>
          <w:rFonts w:ascii="Times New Roman" w:hAnsi="Times New Roman" w:cs="Times New Roman"/>
        </w:rPr>
        <w:t>2) . . .</w:t>
      </w:r>
      <w:r w:rsidRPr="00511604">
        <w:rPr>
          <w:rFonts w:ascii="Times New Roman" w:hAnsi="Times New Roman" w:cs="Times New Roman"/>
        </w:rPr>
        <w:t>. If an accused’s reasonable belief about the victim’s age, based on the victim’s intentional misrepresentation of age, is not a defense, then neither evidence regarding the defendant’s belief about the victim’s ages nor evidence regarding the cause for or reasonableness of that is relevant.” ¶3.</w:t>
      </w:r>
    </w:p>
    <w:p w14:paraId="212F397F" w14:textId="77777777" w:rsidR="00511604" w:rsidRPr="00511604" w:rsidRDefault="00511604" w:rsidP="00511604">
      <w:pPr>
        <w:pStyle w:val="NoSpacing"/>
        <w:jc w:val="both"/>
        <w:rPr>
          <w:rFonts w:ascii="Times New Roman" w:hAnsi="Times New Roman" w:cs="Times New Roman"/>
        </w:rPr>
      </w:pPr>
    </w:p>
    <w:p w14:paraId="05088BBA" w14:textId="2BBD7C61" w:rsidR="00470645" w:rsidRPr="00511604" w:rsidRDefault="00511604" w:rsidP="00D5308F">
      <w:pPr>
        <w:pStyle w:val="NoSpacing"/>
        <w:tabs>
          <w:tab w:val="left" w:pos="900"/>
        </w:tabs>
        <w:ind w:firstLine="450"/>
        <w:jc w:val="both"/>
        <w:rPr>
          <w:rFonts w:ascii="Times New Roman" w:hAnsi="Times New Roman" w:cs="Times New Roman"/>
        </w:rPr>
      </w:pPr>
      <w:r w:rsidRPr="00511604">
        <w:rPr>
          <w:rFonts w:ascii="Times New Roman" w:hAnsi="Times New Roman" w:cs="Times New Roman"/>
        </w:rPr>
        <w:t>5.</w:t>
      </w:r>
      <w:r w:rsidRPr="00511604">
        <w:rPr>
          <w:rFonts w:ascii="Times New Roman" w:hAnsi="Times New Roman" w:cs="Times New Roman"/>
        </w:rPr>
        <w:tab/>
        <w:t>“Without consent” is not an element of this offense, and the Committee concluded it may be helpful to advise the jury of that fact.</w:t>
      </w:r>
    </w:p>
    <w:sectPr w:rsidR="00470645" w:rsidRPr="0051160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F411" w14:textId="77777777" w:rsidR="00511604" w:rsidRDefault="00511604" w:rsidP="00511604">
      <w:pPr>
        <w:spacing w:after="0" w:line="240" w:lineRule="auto"/>
      </w:pPr>
      <w:r>
        <w:separator/>
      </w:r>
    </w:p>
  </w:endnote>
  <w:endnote w:type="continuationSeparator" w:id="0">
    <w:p w14:paraId="5C5A8B1D" w14:textId="77777777" w:rsidR="00511604" w:rsidRDefault="00511604" w:rsidP="0051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D92B" w14:textId="77777777" w:rsidR="00D5308F" w:rsidRDefault="00D5308F" w:rsidP="00D5308F">
    <w:pPr>
      <w:pStyle w:val="Footer"/>
      <w:jc w:val="both"/>
      <w:rPr>
        <w:rFonts w:ascii="Arial" w:hAnsi="Arial" w:cs="Arial"/>
        <w:sz w:val="20"/>
        <w:szCs w:val="20"/>
      </w:rPr>
    </w:pPr>
  </w:p>
  <w:p w14:paraId="41BB1813" w14:textId="4E43EF5E" w:rsidR="00D5308F" w:rsidRPr="00D5308F" w:rsidRDefault="00D5308F" w:rsidP="00D5308F">
    <w:pPr>
      <w:pStyle w:val="Footer"/>
      <w:jc w:val="both"/>
      <w:rPr>
        <w:rFonts w:ascii="Arial" w:hAnsi="Arial" w:cs="Arial"/>
        <w:sz w:val="20"/>
        <w:szCs w:val="20"/>
      </w:rPr>
    </w:pPr>
    <w:r w:rsidRPr="00D5308F">
      <w:rPr>
        <w:rFonts w:ascii="Arial" w:hAnsi="Arial" w:cs="Arial"/>
        <w:sz w:val="20"/>
        <w:szCs w:val="20"/>
      </w:rPr>
      <w:t>Wisconsin Court System, 3/2026</w:t>
    </w:r>
    <w:r w:rsidRPr="00D5308F">
      <w:rPr>
        <w:rFonts w:ascii="Arial" w:hAnsi="Arial" w:cs="Arial"/>
        <w:sz w:val="20"/>
        <w:szCs w:val="20"/>
      </w:rPr>
      <w:tab/>
    </w:r>
    <w:r w:rsidRPr="00D5308F">
      <w:rPr>
        <w:rFonts w:ascii="Arial" w:hAnsi="Arial" w:cs="Arial"/>
        <w:sz w:val="20"/>
        <w:szCs w:val="20"/>
      </w:rPr>
      <w:tab/>
      <w:t>(Release No. 70)</w:t>
    </w:r>
  </w:p>
  <w:sdt>
    <w:sdtPr>
      <w:rPr>
        <w:rFonts w:ascii="Arial" w:hAnsi="Arial" w:cs="Arial"/>
        <w:sz w:val="20"/>
        <w:szCs w:val="20"/>
      </w:rPr>
      <w:id w:val="359868117"/>
      <w:docPartObj>
        <w:docPartGallery w:val="Page Numbers (Bottom of Page)"/>
        <w:docPartUnique/>
      </w:docPartObj>
    </w:sdtPr>
    <w:sdtEndPr>
      <w:rPr>
        <w:noProof/>
      </w:rPr>
    </w:sdtEndPr>
    <w:sdtContent>
      <w:p w14:paraId="308449AC" w14:textId="7C8CD457" w:rsidR="00D5308F" w:rsidRPr="00D5308F" w:rsidRDefault="00D5308F">
        <w:pPr>
          <w:pStyle w:val="Footer"/>
          <w:jc w:val="center"/>
          <w:rPr>
            <w:rFonts w:ascii="Arial" w:hAnsi="Arial" w:cs="Arial"/>
            <w:sz w:val="20"/>
            <w:szCs w:val="20"/>
          </w:rPr>
        </w:pPr>
        <w:r w:rsidRPr="00D5308F">
          <w:rPr>
            <w:rFonts w:ascii="Arial" w:hAnsi="Arial" w:cs="Arial"/>
            <w:sz w:val="20"/>
            <w:szCs w:val="20"/>
          </w:rPr>
          <w:fldChar w:fldCharType="begin"/>
        </w:r>
        <w:r w:rsidRPr="00D5308F">
          <w:rPr>
            <w:rFonts w:ascii="Arial" w:hAnsi="Arial" w:cs="Arial"/>
            <w:sz w:val="20"/>
            <w:szCs w:val="20"/>
          </w:rPr>
          <w:instrText xml:space="preserve"> PAGE   \* MERGEFORMAT </w:instrText>
        </w:r>
        <w:r w:rsidRPr="00D5308F">
          <w:rPr>
            <w:rFonts w:ascii="Arial" w:hAnsi="Arial" w:cs="Arial"/>
            <w:sz w:val="20"/>
            <w:szCs w:val="20"/>
          </w:rPr>
          <w:fldChar w:fldCharType="separate"/>
        </w:r>
        <w:r w:rsidRPr="00D5308F">
          <w:rPr>
            <w:rFonts w:ascii="Arial" w:hAnsi="Arial" w:cs="Arial"/>
            <w:noProof/>
            <w:sz w:val="20"/>
            <w:szCs w:val="20"/>
          </w:rPr>
          <w:t>2</w:t>
        </w:r>
        <w:r w:rsidRPr="00D5308F">
          <w:rPr>
            <w:rFonts w:ascii="Arial" w:hAnsi="Arial" w:cs="Arial"/>
            <w:noProof/>
            <w:sz w:val="20"/>
            <w:szCs w:val="20"/>
          </w:rPr>
          <w:fldChar w:fldCharType="end"/>
        </w:r>
      </w:p>
    </w:sdtContent>
  </w:sdt>
  <w:p w14:paraId="008A55EA" w14:textId="77777777" w:rsidR="00D5308F" w:rsidRDefault="00D53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53EE" w14:textId="77777777" w:rsidR="00511604" w:rsidRDefault="00511604" w:rsidP="00511604">
      <w:pPr>
        <w:spacing w:after="0" w:line="240" w:lineRule="auto"/>
      </w:pPr>
      <w:r>
        <w:separator/>
      </w:r>
    </w:p>
  </w:footnote>
  <w:footnote w:type="continuationSeparator" w:id="0">
    <w:p w14:paraId="722CBC07" w14:textId="77777777" w:rsidR="00511604" w:rsidRDefault="00511604" w:rsidP="0051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B5F9" w14:textId="77777777" w:rsidR="00511604" w:rsidRDefault="00511604" w:rsidP="00511604">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4AFFCCB0" w14:textId="7221A0FB" w:rsidR="00511604" w:rsidRPr="00511604" w:rsidRDefault="00511604" w:rsidP="00511604">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511604">
      <w:rPr>
        <w:rFonts w:ascii="Arial" w:eastAsia="Times New Roman" w:hAnsi="Arial" w:cs="Arial"/>
        <w:b/>
        <w:bCs/>
        <w:sz w:val="28"/>
        <w:szCs w:val="28"/>
      </w:rPr>
      <w:t>2104</w:t>
    </w:r>
    <w:r w:rsidRPr="00511604">
      <w:rPr>
        <w:rFonts w:ascii="Arial" w:eastAsia="Times New Roman" w:hAnsi="Arial" w:cs="Arial"/>
        <w:b/>
        <w:bCs/>
        <w:sz w:val="28"/>
        <w:szCs w:val="28"/>
      </w:rPr>
      <w:tab/>
      <w:t>WIS JI</w:t>
    </w:r>
    <w:r w:rsidRPr="00511604">
      <w:rPr>
        <w:rFonts w:ascii="Arial" w:eastAsia="Times New Roman" w:hAnsi="Arial" w:cs="Arial"/>
        <w:b/>
        <w:bCs/>
        <w:sz w:val="28"/>
        <w:szCs w:val="28"/>
      </w:rPr>
      <w:noBreakHyphen/>
      <w:t>CRIMINAL</w:t>
    </w:r>
    <w:r w:rsidRPr="00511604">
      <w:rPr>
        <w:rFonts w:ascii="Arial" w:eastAsia="Times New Roman" w:hAnsi="Arial" w:cs="Arial"/>
        <w:b/>
        <w:bCs/>
        <w:sz w:val="28"/>
        <w:szCs w:val="28"/>
      </w:rPr>
      <w:tab/>
      <w:t>2104</w:t>
    </w:r>
  </w:p>
  <w:p w14:paraId="4EDA962E" w14:textId="1397431A" w:rsidR="00511604" w:rsidRDefault="00511604">
    <w:pPr>
      <w:pStyle w:val="Header"/>
    </w:pPr>
  </w:p>
  <w:p w14:paraId="2CF5F0BF" w14:textId="77777777" w:rsidR="00511604" w:rsidRDefault="00511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04"/>
    <w:rsid w:val="00470645"/>
    <w:rsid w:val="00511604"/>
    <w:rsid w:val="00610D46"/>
    <w:rsid w:val="007D0FCA"/>
    <w:rsid w:val="00884F8A"/>
    <w:rsid w:val="00C052B1"/>
    <w:rsid w:val="00CE41C0"/>
    <w:rsid w:val="00D242D8"/>
    <w:rsid w:val="00D5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C372"/>
  <w15:chartTrackingRefBased/>
  <w15:docId w15:val="{D8A3894B-8A34-4288-85A6-0E0E33BC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04"/>
  </w:style>
  <w:style w:type="paragraph" w:styleId="Footer">
    <w:name w:val="footer"/>
    <w:basedOn w:val="Normal"/>
    <w:link w:val="FooterChar"/>
    <w:uiPriority w:val="99"/>
    <w:unhideWhenUsed/>
    <w:rsid w:val="0051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04"/>
  </w:style>
  <w:style w:type="paragraph" w:styleId="NoSpacing">
    <w:name w:val="No Spacing"/>
    <w:uiPriority w:val="1"/>
    <w:qFormat/>
    <w:rsid w:val="00511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7</cp:revision>
  <dcterms:created xsi:type="dcterms:W3CDTF">2026-03-13T17:17:00Z</dcterms:created>
  <dcterms:modified xsi:type="dcterms:W3CDTF">2026-03-13T19:49:00Z</dcterms:modified>
</cp:coreProperties>
</file>