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B489C5" w14:textId="77777777" w:rsidR="0073520A" w:rsidRPr="00195DB8" w:rsidRDefault="0073520A" w:rsidP="0073520A">
      <w:pPr>
        <w:pStyle w:val="NoSpacing"/>
        <w:tabs>
          <w:tab w:val="left" w:pos="720"/>
        </w:tabs>
        <w:rPr>
          <w:rFonts w:ascii="Times New Roman" w:hAnsi="Times New Roman" w:cs="Times New Roman"/>
          <w:b/>
          <w:bCs/>
          <w:sz w:val="26"/>
          <w:szCs w:val="26"/>
        </w:rPr>
      </w:pPr>
      <w:r w:rsidRPr="00195DB8">
        <w:rPr>
          <w:rFonts w:ascii="Times New Roman" w:hAnsi="Times New Roman" w:cs="Times New Roman"/>
          <w:b/>
          <w:bCs/>
          <w:sz w:val="26"/>
          <w:szCs w:val="26"/>
        </w:rPr>
        <w:t>2107</w:t>
      </w:r>
      <w:r w:rsidRPr="00195DB8">
        <w:rPr>
          <w:rFonts w:ascii="Times New Roman" w:hAnsi="Times New Roman" w:cs="Times New Roman"/>
          <w:b/>
          <w:bCs/>
          <w:sz w:val="26"/>
          <w:szCs w:val="26"/>
        </w:rPr>
        <w:tab/>
        <w:t>REPEATED ACTS OF SEXUAL ASSAULT OF A CHILD — § 948.025</w:t>
      </w:r>
    </w:p>
    <w:p w14:paraId="10161114" w14:textId="0BBBBA4D" w:rsidR="0073520A" w:rsidRPr="00195DB8" w:rsidRDefault="0073520A" w:rsidP="0073520A">
      <w:pPr>
        <w:pStyle w:val="NoSpacing"/>
        <w:rPr>
          <w:rFonts w:ascii="Times New Roman" w:hAnsi="Times New Roman" w:cs="Times New Roman"/>
          <w:sz w:val="26"/>
          <w:szCs w:val="26"/>
        </w:rPr>
      </w:pPr>
    </w:p>
    <w:p w14:paraId="757C2548" w14:textId="77777777" w:rsidR="008D66BE" w:rsidRPr="00195DB8" w:rsidRDefault="008D66BE" w:rsidP="0073520A">
      <w:pPr>
        <w:pStyle w:val="NoSpacing"/>
        <w:rPr>
          <w:rFonts w:ascii="Times New Roman" w:hAnsi="Times New Roman" w:cs="Times New Roman"/>
          <w:sz w:val="26"/>
          <w:szCs w:val="26"/>
        </w:rPr>
      </w:pPr>
    </w:p>
    <w:p w14:paraId="3999DCD2" w14:textId="77777777" w:rsidR="0073520A" w:rsidRPr="00195DB8" w:rsidRDefault="0073520A" w:rsidP="001540B7">
      <w:pPr>
        <w:pStyle w:val="NoSpacing"/>
        <w:spacing w:line="480" w:lineRule="auto"/>
        <w:jc w:val="center"/>
        <w:rPr>
          <w:rFonts w:ascii="Times New Roman" w:hAnsi="Times New Roman" w:cs="Times New Roman"/>
          <w:b/>
          <w:bCs/>
          <w:sz w:val="26"/>
          <w:szCs w:val="26"/>
        </w:rPr>
      </w:pPr>
      <w:r w:rsidRPr="00195DB8">
        <w:rPr>
          <w:rFonts w:ascii="Times New Roman" w:hAnsi="Times New Roman" w:cs="Times New Roman"/>
          <w:b/>
          <w:bCs/>
          <w:sz w:val="26"/>
          <w:szCs w:val="26"/>
        </w:rPr>
        <w:t>Statutory Definition of the Crime</w:t>
      </w:r>
    </w:p>
    <w:p w14:paraId="5EB932BD" w14:textId="196DC225" w:rsidR="0073520A" w:rsidRPr="00195DB8" w:rsidRDefault="0073520A" w:rsidP="001540B7">
      <w:pPr>
        <w:pStyle w:val="NoSpacing"/>
        <w:spacing w:line="480" w:lineRule="auto"/>
        <w:ind w:firstLine="450"/>
        <w:jc w:val="both"/>
        <w:rPr>
          <w:rFonts w:ascii="Times New Roman" w:hAnsi="Times New Roman" w:cs="Times New Roman"/>
          <w:sz w:val="26"/>
          <w:szCs w:val="26"/>
        </w:rPr>
      </w:pPr>
      <w:r w:rsidRPr="00195DB8">
        <w:rPr>
          <w:rFonts w:ascii="Times New Roman" w:hAnsi="Times New Roman" w:cs="Times New Roman"/>
          <w:sz w:val="26"/>
          <w:szCs w:val="26"/>
        </w:rPr>
        <w:t>Section 948.025 of the Criminal Code of Wisconsin is violated by one who, within a specified period of time,</w:t>
      </w:r>
      <w:r w:rsidR="001540B7" w:rsidRPr="00195DB8">
        <w:rPr>
          <w:rStyle w:val="EndnoteReference"/>
          <w:rFonts w:ascii="Times New Roman" w:hAnsi="Times New Roman" w:cs="Times New Roman"/>
          <w:sz w:val="26"/>
          <w:szCs w:val="26"/>
        </w:rPr>
        <w:endnoteReference w:id="1"/>
      </w:r>
      <w:r w:rsidRPr="00195DB8">
        <w:rPr>
          <w:rFonts w:ascii="Times New Roman" w:hAnsi="Times New Roman" w:cs="Times New Roman"/>
          <w:sz w:val="26"/>
          <w:szCs w:val="26"/>
        </w:rPr>
        <w:t xml:space="preserve"> commits three or more sexual assaults of the same child.</w:t>
      </w:r>
    </w:p>
    <w:p w14:paraId="01DC5D52" w14:textId="77777777" w:rsidR="0073520A" w:rsidRPr="00195DB8" w:rsidRDefault="0073520A" w:rsidP="001540B7">
      <w:pPr>
        <w:pStyle w:val="NoSpacing"/>
        <w:spacing w:line="480" w:lineRule="auto"/>
        <w:jc w:val="center"/>
        <w:rPr>
          <w:rFonts w:ascii="Times New Roman" w:hAnsi="Times New Roman" w:cs="Times New Roman"/>
          <w:b/>
          <w:bCs/>
          <w:sz w:val="26"/>
          <w:szCs w:val="26"/>
        </w:rPr>
      </w:pPr>
      <w:r w:rsidRPr="00195DB8">
        <w:rPr>
          <w:rFonts w:ascii="Times New Roman" w:hAnsi="Times New Roman" w:cs="Times New Roman"/>
          <w:b/>
          <w:bCs/>
          <w:sz w:val="26"/>
          <w:szCs w:val="26"/>
        </w:rPr>
        <w:t>State’s Burden of Proof</w:t>
      </w:r>
    </w:p>
    <w:p w14:paraId="7DF4D266" w14:textId="77777777" w:rsidR="0073520A" w:rsidRPr="00195DB8" w:rsidRDefault="0073520A" w:rsidP="001540B7">
      <w:pPr>
        <w:pStyle w:val="NoSpacing"/>
        <w:spacing w:line="480" w:lineRule="auto"/>
        <w:ind w:firstLine="450"/>
        <w:jc w:val="both"/>
        <w:rPr>
          <w:rFonts w:ascii="Times New Roman" w:hAnsi="Times New Roman" w:cs="Times New Roman"/>
          <w:sz w:val="26"/>
          <w:szCs w:val="26"/>
        </w:rPr>
      </w:pPr>
      <w:r w:rsidRPr="00195DB8">
        <w:rPr>
          <w:rFonts w:ascii="Times New Roman" w:hAnsi="Times New Roman" w:cs="Times New Roman"/>
          <w:sz w:val="26"/>
          <w:szCs w:val="26"/>
        </w:rPr>
        <w:t>Before you may find the defendant guilty of this offense, the State must prove by evidence which satisfies you beyond a reasonable doubt that the following two elements were present.</w:t>
      </w:r>
    </w:p>
    <w:p w14:paraId="34389B6D" w14:textId="77777777" w:rsidR="0073520A" w:rsidRPr="00195DB8" w:rsidRDefault="0073520A" w:rsidP="001540B7">
      <w:pPr>
        <w:pStyle w:val="NoSpacing"/>
        <w:spacing w:line="480" w:lineRule="auto"/>
        <w:jc w:val="center"/>
        <w:rPr>
          <w:rFonts w:ascii="Times New Roman" w:hAnsi="Times New Roman" w:cs="Times New Roman"/>
          <w:b/>
          <w:bCs/>
          <w:sz w:val="26"/>
          <w:szCs w:val="26"/>
        </w:rPr>
      </w:pPr>
      <w:r w:rsidRPr="00195DB8">
        <w:rPr>
          <w:rFonts w:ascii="Times New Roman" w:hAnsi="Times New Roman" w:cs="Times New Roman"/>
          <w:b/>
          <w:bCs/>
          <w:sz w:val="26"/>
          <w:szCs w:val="26"/>
        </w:rPr>
        <w:t>Elements of the Crime That the State Must Prove</w:t>
      </w:r>
    </w:p>
    <w:p w14:paraId="7AAF85A0" w14:textId="77777777" w:rsidR="0073520A" w:rsidRPr="00195DB8" w:rsidRDefault="0073520A" w:rsidP="001540B7">
      <w:pPr>
        <w:pStyle w:val="NoSpacing"/>
        <w:tabs>
          <w:tab w:val="left" w:pos="900"/>
        </w:tabs>
        <w:spacing w:line="480" w:lineRule="auto"/>
        <w:ind w:left="900" w:hanging="450"/>
        <w:jc w:val="both"/>
        <w:rPr>
          <w:rFonts w:ascii="Times New Roman" w:hAnsi="Times New Roman" w:cs="Times New Roman"/>
          <w:sz w:val="26"/>
          <w:szCs w:val="26"/>
        </w:rPr>
      </w:pPr>
      <w:r w:rsidRPr="00195DB8">
        <w:rPr>
          <w:rFonts w:ascii="Times New Roman" w:hAnsi="Times New Roman" w:cs="Times New Roman"/>
          <w:sz w:val="26"/>
          <w:szCs w:val="26"/>
        </w:rPr>
        <w:t>1.</w:t>
      </w:r>
      <w:r w:rsidRPr="00195DB8">
        <w:rPr>
          <w:rFonts w:ascii="Times New Roman" w:hAnsi="Times New Roman" w:cs="Times New Roman"/>
          <w:sz w:val="26"/>
          <w:szCs w:val="26"/>
        </w:rPr>
        <w:tab/>
        <w:t>The defendant committed at least three sexual assaults of (</w:t>
      </w:r>
      <w:r w:rsidRPr="00195DB8">
        <w:rPr>
          <w:rFonts w:ascii="Times New Roman" w:hAnsi="Times New Roman" w:cs="Times New Roman"/>
          <w:sz w:val="26"/>
          <w:szCs w:val="26"/>
          <w:u w:val="single"/>
        </w:rPr>
        <w:t>name of victim</w:t>
      </w:r>
      <w:r w:rsidRPr="00195DB8">
        <w:rPr>
          <w:rFonts w:ascii="Times New Roman" w:hAnsi="Times New Roman" w:cs="Times New Roman"/>
          <w:sz w:val="26"/>
          <w:szCs w:val="26"/>
        </w:rPr>
        <w:t>).</w:t>
      </w:r>
    </w:p>
    <w:p w14:paraId="3AA653F2" w14:textId="2FA5FA86" w:rsidR="0073520A" w:rsidRPr="00195DB8" w:rsidRDefault="0073520A" w:rsidP="001540B7">
      <w:pPr>
        <w:pStyle w:val="NoSpacing"/>
        <w:tabs>
          <w:tab w:val="left" w:pos="900"/>
        </w:tabs>
        <w:spacing w:line="480" w:lineRule="auto"/>
        <w:ind w:left="900" w:firstLine="360"/>
        <w:jc w:val="both"/>
        <w:rPr>
          <w:rFonts w:ascii="Times New Roman" w:hAnsi="Times New Roman" w:cs="Times New Roman"/>
          <w:sz w:val="26"/>
          <w:szCs w:val="26"/>
        </w:rPr>
      </w:pPr>
      <w:r w:rsidRPr="00195DB8">
        <w:rPr>
          <w:rFonts w:ascii="Times New Roman" w:hAnsi="Times New Roman" w:cs="Times New Roman"/>
          <w:sz w:val="26"/>
          <w:szCs w:val="26"/>
        </w:rPr>
        <w:t>In this case, the defendant is alleged to have committed sexual assault of a child by violating (</w:t>
      </w:r>
      <w:r w:rsidRPr="00195DB8">
        <w:rPr>
          <w:rFonts w:ascii="Times New Roman" w:hAnsi="Times New Roman" w:cs="Times New Roman"/>
          <w:sz w:val="26"/>
          <w:szCs w:val="26"/>
          <w:u w:val="single"/>
        </w:rPr>
        <w:t>identify the subsection</w:t>
      </w:r>
      <w:r w:rsidR="001B3D1B" w:rsidRPr="00195DB8">
        <w:rPr>
          <w:rFonts w:ascii="Times New Roman" w:hAnsi="Times New Roman" w:cs="Times New Roman"/>
          <w:sz w:val="26"/>
          <w:szCs w:val="26"/>
          <w:u w:val="single"/>
        </w:rPr>
        <w:t>(s)</w:t>
      </w:r>
      <w:r w:rsidRPr="00195DB8">
        <w:rPr>
          <w:rFonts w:ascii="Times New Roman" w:hAnsi="Times New Roman" w:cs="Times New Roman"/>
          <w:sz w:val="26"/>
          <w:szCs w:val="26"/>
          <w:u w:val="single"/>
        </w:rPr>
        <w:t xml:space="preserve"> of § 948.02 that defines the sexual assault</w:t>
      </w:r>
      <w:r w:rsidR="001B3D1B" w:rsidRPr="00195DB8">
        <w:rPr>
          <w:rFonts w:ascii="Times New Roman" w:hAnsi="Times New Roman" w:cs="Times New Roman"/>
          <w:sz w:val="26"/>
          <w:szCs w:val="26"/>
          <w:u w:val="single"/>
        </w:rPr>
        <w:t>(s)</w:t>
      </w:r>
      <w:r w:rsidRPr="00195DB8">
        <w:rPr>
          <w:rFonts w:ascii="Times New Roman" w:hAnsi="Times New Roman" w:cs="Times New Roman"/>
          <w:sz w:val="26"/>
          <w:szCs w:val="26"/>
          <w:u w:val="single"/>
        </w:rPr>
        <w:t xml:space="preserve"> alleged</w:t>
      </w:r>
      <w:r w:rsidRPr="00195DB8">
        <w:rPr>
          <w:rFonts w:ascii="Times New Roman" w:hAnsi="Times New Roman" w:cs="Times New Roman"/>
          <w:sz w:val="26"/>
          <w:szCs w:val="26"/>
        </w:rPr>
        <w:t>).</w:t>
      </w:r>
      <w:r w:rsidR="001540B7" w:rsidRPr="00195DB8">
        <w:rPr>
          <w:rStyle w:val="EndnoteReference"/>
          <w:rFonts w:ascii="Times New Roman" w:hAnsi="Times New Roman" w:cs="Times New Roman"/>
          <w:sz w:val="26"/>
          <w:szCs w:val="26"/>
        </w:rPr>
        <w:endnoteReference w:id="2"/>
      </w:r>
      <w:r w:rsidRPr="00195DB8">
        <w:rPr>
          <w:rFonts w:ascii="Times New Roman" w:hAnsi="Times New Roman" w:cs="Times New Roman"/>
          <w:sz w:val="26"/>
          <w:szCs w:val="26"/>
        </w:rPr>
        <w:t xml:space="preserve"> </w:t>
      </w:r>
    </w:p>
    <w:p w14:paraId="19EF3878" w14:textId="1C584FEB" w:rsidR="0073520A" w:rsidRPr="00195DB8" w:rsidRDefault="0073520A" w:rsidP="001540B7">
      <w:pPr>
        <w:pStyle w:val="NoSpacing"/>
        <w:tabs>
          <w:tab w:val="left" w:pos="900"/>
        </w:tabs>
        <w:spacing w:line="480" w:lineRule="auto"/>
        <w:ind w:left="900" w:firstLine="360"/>
        <w:jc w:val="both"/>
        <w:rPr>
          <w:rFonts w:ascii="Times New Roman" w:hAnsi="Times New Roman" w:cs="Times New Roman"/>
          <w:sz w:val="26"/>
          <w:szCs w:val="26"/>
        </w:rPr>
      </w:pPr>
      <w:r w:rsidRPr="00195DB8">
        <w:rPr>
          <w:rFonts w:ascii="Times New Roman" w:hAnsi="Times New Roman" w:cs="Times New Roman"/>
          <w:sz w:val="26"/>
          <w:szCs w:val="26"/>
        </w:rPr>
        <w:t>Section _________ requires the State to prove that:</w:t>
      </w:r>
      <w:r w:rsidR="00CA62E7" w:rsidRPr="00195DB8">
        <w:rPr>
          <w:rStyle w:val="EndnoteReference"/>
          <w:rFonts w:ascii="Times New Roman" w:hAnsi="Times New Roman" w:cs="Times New Roman"/>
          <w:sz w:val="26"/>
          <w:szCs w:val="26"/>
        </w:rPr>
        <w:endnoteReference w:id="3"/>
      </w:r>
      <w:r w:rsidRPr="00195DB8">
        <w:rPr>
          <w:rFonts w:ascii="Times New Roman" w:hAnsi="Times New Roman" w:cs="Times New Roman"/>
          <w:sz w:val="26"/>
          <w:szCs w:val="26"/>
        </w:rPr>
        <w:t xml:space="preserve"> </w:t>
      </w:r>
    </w:p>
    <w:p w14:paraId="44572F57" w14:textId="7F930DEB" w:rsidR="0073520A" w:rsidRPr="00195DB8" w:rsidRDefault="0073520A" w:rsidP="001540B7">
      <w:pPr>
        <w:pStyle w:val="NoSpacing"/>
        <w:ind w:left="450" w:right="450"/>
        <w:jc w:val="both"/>
        <w:rPr>
          <w:rFonts w:ascii="Times New Roman" w:hAnsi="Times New Roman" w:cs="Times New Roman"/>
          <w:sz w:val="26"/>
          <w:szCs w:val="26"/>
        </w:rPr>
      </w:pPr>
      <w:r w:rsidRPr="00195DB8">
        <w:rPr>
          <w:rFonts w:ascii="Times New Roman" w:hAnsi="Times New Roman" w:cs="Times New Roman"/>
          <w:sz w:val="26"/>
          <w:szCs w:val="26"/>
        </w:rPr>
        <w:t>LIST THE ELEMENTS OF THE INTENDED CRIME AS IDENTIFIED IN THE UNIFORM INSTRUCTION.</w:t>
      </w:r>
      <w:r w:rsidR="001E19C4" w:rsidRPr="00195DB8">
        <w:rPr>
          <w:rFonts w:ascii="Times New Roman" w:hAnsi="Times New Roman" w:cs="Times New Roman"/>
          <w:sz w:val="26"/>
          <w:szCs w:val="26"/>
        </w:rPr>
        <w:t xml:space="preserve"> </w:t>
      </w:r>
      <w:r w:rsidRPr="00195DB8">
        <w:rPr>
          <w:rFonts w:ascii="Times New Roman" w:hAnsi="Times New Roman" w:cs="Times New Roman"/>
          <w:sz w:val="26"/>
          <w:szCs w:val="26"/>
        </w:rPr>
        <w:t>ADD DEFINITIONS FROM THE UNIFORM INSTRUCTIONS AS NECESSARY.</w:t>
      </w:r>
      <w:r w:rsidR="00CA62E7" w:rsidRPr="00195DB8">
        <w:rPr>
          <w:rStyle w:val="EndnoteReference"/>
          <w:rFonts w:ascii="Times New Roman" w:hAnsi="Times New Roman" w:cs="Times New Roman"/>
          <w:sz w:val="26"/>
          <w:szCs w:val="26"/>
        </w:rPr>
        <w:endnoteReference w:id="4"/>
      </w:r>
      <w:r w:rsidRPr="00195DB8">
        <w:rPr>
          <w:rFonts w:ascii="Times New Roman" w:hAnsi="Times New Roman" w:cs="Times New Roman"/>
          <w:sz w:val="26"/>
          <w:szCs w:val="26"/>
        </w:rPr>
        <w:t xml:space="preserve"> </w:t>
      </w:r>
    </w:p>
    <w:p w14:paraId="549EB7D5" w14:textId="77777777" w:rsidR="001540B7" w:rsidRPr="00195DB8" w:rsidRDefault="001540B7" w:rsidP="001540B7">
      <w:pPr>
        <w:pStyle w:val="NoSpacing"/>
        <w:ind w:left="450" w:right="450"/>
        <w:jc w:val="both"/>
        <w:rPr>
          <w:rFonts w:ascii="Times New Roman" w:hAnsi="Times New Roman" w:cs="Times New Roman"/>
          <w:sz w:val="26"/>
          <w:szCs w:val="26"/>
        </w:rPr>
      </w:pPr>
    </w:p>
    <w:p w14:paraId="5FBFFA1D" w14:textId="6C320B1B" w:rsidR="0073520A" w:rsidRPr="00195DB8" w:rsidRDefault="0073520A" w:rsidP="001540B7">
      <w:pPr>
        <w:pStyle w:val="NoSpacing"/>
        <w:tabs>
          <w:tab w:val="left" w:pos="900"/>
        </w:tabs>
        <w:spacing w:line="480" w:lineRule="auto"/>
        <w:ind w:left="900" w:hanging="450"/>
        <w:jc w:val="both"/>
        <w:rPr>
          <w:rFonts w:ascii="Times New Roman" w:hAnsi="Times New Roman" w:cs="Times New Roman"/>
          <w:sz w:val="26"/>
          <w:szCs w:val="26"/>
        </w:rPr>
      </w:pPr>
      <w:r w:rsidRPr="00195DB8">
        <w:rPr>
          <w:rFonts w:ascii="Times New Roman" w:hAnsi="Times New Roman" w:cs="Times New Roman"/>
          <w:sz w:val="26"/>
          <w:szCs w:val="26"/>
        </w:rPr>
        <w:t>2.</w:t>
      </w:r>
      <w:r w:rsidRPr="00195DB8">
        <w:rPr>
          <w:rFonts w:ascii="Times New Roman" w:hAnsi="Times New Roman" w:cs="Times New Roman"/>
          <w:sz w:val="26"/>
          <w:szCs w:val="26"/>
        </w:rPr>
        <w:tab/>
        <w:t>At least three sexual assaults took place within a specified period of time. The specified period of time is from (</w:t>
      </w:r>
      <w:r w:rsidRPr="00195DB8">
        <w:rPr>
          <w:rFonts w:ascii="Times New Roman" w:hAnsi="Times New Roman" w:cs="Times New Roman"/>
          <w:sz w:val="26"/>
          <w:szCs w:val="26"/>
          <w:u w:val="single"/>
        </w:rPr>
        <w:t>beginning date of specified period</w:t>
      </w:r>
      <w:r w:rsidRPr="00195DB8">
        <w:rPr>
          <w:rFonts w:ascii="Times New Roman" w:hAnsi="Times New Roman" w:cs="Times New Roman"/>
          <w:sz w:val="26"/>
          <w:szCs w:val="26"/>
        </w:rPr>
        <w:t>) through (</w:t>
      </w:r>
      <w:r w:rsidRPr="00195DB8">
        <w:rPr>
          <w:rFonts w:ascii="Times New Roman" w:hAnsi="Times New Roman" w:cs="Times New Roman"/>
          <w:sz w:val="26"/>
          <w:szCs w:val="26"/>
          <w:u w:val="single"/>
        </w:rPr>
        <w:t>ending date of specified period</w:t>
      </w:r>
      <w:r w:rsidRPr="00195DB8">
        <w:rPr>
          <w:rFonts w:ascii="Times New Roman" w:hAnsi="Times New Roman" w:cs="Times New Roman"/>
          <w:sz w:val="26"/>
          <w:szCs w:val="26"/>
        </w:rPr>
        <w:t>).</w:t>
      </w:r>
      <w:r w:rsidR="005D361A" w:rsidRPr="00195DB8">
        <w:rPr>
          <w:rStyle w:val="EndnoteReference"/>
          <w:rFonts w:ascii="Times New Roman" w:hAnsi="Times New Roman" w:cs="Times New Roman"/>
          <w:sz w:val="26"/>
          <w:szCs w:val="26"/>
        </w:rPr>
        <w:endnoteReference w:id="5"/>
      </w:r>
      <w:r w:rsidRPr="00195DB8">
        <w:rPr>
          <w:rFonts w:ascii="Times New Roman" w:hAnsi="Times New Roman" w:cs="Times New Roman"/>
          <w:sz w:val="26"/>
          <w:szCs w:val="26"/>
        </w:rPr>
        <w:t xml:space="preserve"> </w:t>
      </w:r>
    </w:p>
    <w:p w14:paraId="71077B05" w14:textId="5F3FFFCE" w:rsidR="0073520A" w:rsidRPr="00195DB8" w:rsidRDefault="0073520A" w:rsidP="001E19C4">
      <w:pPr>
        <w:pStyle w:val="NoSpacing"/>
        <w:ind w:left="450" w:right="450"/>
        <w:jc w:val="both"/>
        <w:rPr>
          <w:rFonts w:ascii="Times New Roman" w:hAnsi="Times New Roman" w:cs="Times New Roman"/>
          <w:sz w:val="26"/>
          <w:szCs w:val="26"/>
        </w:rPr>
      </w:pPr>
      <w:r w:rsidRPr="00195DB8">
        <w:rPr>
          <w:rFonts w:ascii="Times New Roman" w:hAnsi="Times New Roman" w:cs="Times New Roman"/>
          <w:sz w:val="26"/>
          <w:szCs w:val="26"/>
        </w:rPr>
        <w:lastRenderedPageBreak/>
        <w:t>GIVE THE FOLLOWING ONLY IF MORE THAN THREE ACTS HAVE BEEN ALLEGED.</w:t>
      </w:r>
    </w:p>
    <w:p w14:paraId="470775C3" w14:textId="77777777" w:rsidR="0073520A" w:rsidRPr="00195DB8" w:rsidRDefault="0073520A" w:rsidP="001540B7">
      <w:pPr>
        <w:pStyle w:val="NoSpacing"/>
        <w:spacing w:line="480" w:lineRule="auto"/>
        <w:jc w:val="center"/>
        <w:rPr>
          <w:rFonts w:ascii="Times New Roman" w:hAnsi="Times New Roman" w:cs="Times New Roman"/>
          <w:b/>
          <w:bCs/>
          <w:sz w:val="26"/>
          <w:szCs w:val="26"/>
        </w:rPr>
      </w:pPr>
      <w:r w:rsidRPr="00195DB8">
        <w:rPr>
          <w:rFonts w:ascii="Times New Roman" w:hAnsi="Times New Roman" w:cs="Times New Roman"/>
          <w:b/>
          <w:bCs/>
          <w:sz w:val="26"/>
          <w:szCs w:val="26"/>
        </w:rPr>
        <w:t>[More Than Three Acts Alleged]</w:t>
      </w:r>
    </w:p>
    <w:p w14:paraId="043D98EE" w14:textId="3F0C2C7B" w:rsidR="0073520A" w:rsidRPr="00195DB8" w:rsidRDefault="0073520A" w:rsidP="001540B7">
      <w:pPr>
        <w:pStyle w:val="NoSpacing"/>
        <w:spacing w:line="480" w:lineRule="auto"/>
        <w:ind w:firstLine="450"/>
        <w:jc w:val="both"/>
        <w:rPr>
          <w:rFonts w:ascii="Times New Roman" w:hAnsi="Times New Roman" w:cs="Times New Roman"/>
          <w:sz w:val="26"/>
          <w:szCs w:val="26"/>
        </w:rPr>
      </w:pPr>
      <w:r w:rsidRPr="00195DB8">
        <w:rPr>
          <w:rFonts w:ascii="Times New Roman" w:hAnsi="Times New Roman" w:cs="Times New Roman"/>
          <w:sz w:val="26"/>
          <w:szCs w:val="26"/>
        </w:rPr>
        <w:t>[Before you may find the defendant guilty</w:t>
      </w:r>
      <w:r w:rsidR="005A395A">
        <w:rPr>
          <w:rFonts w:ascii="Times New Roman" w:hAnsi="Times New Roman" w:cs="Times New Roman"/>
          <w:sz w:val="26"/>
          <w:szCs w:val="26"/>
        </w:rPr>
        <w:t>,</w:t>
      </w:r>
      <w:r w:rsidRPr="00195DB8">
        <w:rPr>
          <w:rFonts w:ascii="Times New Roman" w:hAnsi="Times New Roman" w:cs="Times New Roman"/>
          <w:sz w:val="26"/>
          <w:szCs w:val="26"/>
        </w:rPr>
        <w:t xml:space="preserve"> you must unanimously agree that at least three sexual assaults occurred between (</w:t>
      </w:r>
      <w:r w:rsidRPr="00195DB8">
        <w:rPr>
          <w:rFonts w:ascii="Times New Roman" w:hAnsi="Times New Roman" w:cs="Times New Roman"/>
          <w:sz w:val="26"/>
          <w:szCs w:val="26"/>
          <w:u w:val="single"/>
        </w:rPr>
        <w:t>beginning date of specified period</w:t>
      </w:r>
      <w:r w:rsidRPr="00195DB8">
        <w:rPr>
          <w:rFonts w:ascii="Times New Roman" w:hAnsi="Times New Roman" w:cs="Times New Roman"/>
          <w:sz w:val="26"/>
          <w:szCs w:val="26"/>
        </w:rPr>
        <w:t>) and (</w:t>
      </w:r>
      <w:r w:rsidRPr="00195DB8">
        <w:rPr>
          <w:rFonts w:ascii="Times New Roman" w:hAnsi="Times New Roman" w:cs="Times New Roman"/>
          <w:sz w:val="26"/>
          <w:szCs w:val="26"/>
          <w:u w:val="single"/>
        </w:rPr>
        <w:t>ending date of specified period</w:t>
      </w:r>
      <w:r w:rsidRPr="00195DB8">
        <w:rPr>
          <w:rFonts w:ascii="Times New Roman" w:hAnsi="Times New Roman" w:cs="Times New Roman"/>
          <w:sz w:val="26"/>
          <w:szCs w:val="26"/>
        </w:rPr>
        <w:t>), but you need not agree on which acts constitute the required three.]</w:t>
      </w:r>
      <w:r w:rsidR="00E3546B" w:rsidRPr="00195DB8">
        <w:rPr>
          <w:rStyle w:val="EndnoteReference"/>
          <w:rFonts w:ascii="Times New Roman" w:hAnsi="Times New Roman" w:cs="Times New Roman"/>
          <w:sz w:val="26"/>
          <w:szCs w:val="26"/>
        </w:rPr>
        <w:endnoteReference w:id="6"/>
      </w:r>
      <w:r w:rsidRPr="00195DB8">
        <w:rPr>
          <w:rFonts w:ascii="Times New Roman" w:hAnsi="Times New Roman" w:cs="Times New Roman"/>
          <w:sz w:val="26"/>
          <w:szCs w:val="26"/>
        </w:rPr>
        <w:t xml:space="preserve"> </w:t>
      </w:r>
    </w:p>
    <w:p w14:paraId="4A2082D4" w14:textId="77777777" w:rsidR="0073520A" w:rsidRPr="00195DB8" w:rsidRDefault="0073520A" w:rsidP="001540B7">
      <w:pPr>
        <w:pStyle w:val="NoSpacing"/>
        <w:spacing w:line="480" w:lineRule="auto"/>
        <w:jc w:val="center"/>
        <w:rPr>
          <w:rFonts w:ascii="Times New Roman" w:hAnsi="Times New Roman" w:cs="Times New Roman"/>
          <w:b/>
          <w:bCs/>
          <w:sz w:val="26"/>
          <w:szCs w:val="26"/>
        </w:rPr>
      </w:pPr>
      <w:r w:rsidRPr="00195DB8">
        <w:rPr>
          <w:rFonts w:ascii="Times New Roman" w:hAnsi="Times New Roman" w:cs="Times New Roman"/>
          <w:b/>
          <w:bCs/>
          <w:sz w:val="26"/>
          <w:szCs w:val="26"/>
        </w:rPr>
        <w:t>Jury’s Decision</w:t>
      </w:r>
    </w:p>
    <w:p w14:paraId="5C47EAD6" w14:textId="77777777" w:rsidR="0073520A" w:rsidRPr="00195DB8" w:rsidRDefault="0073520A" w:rsidP="001540B7">
      <w:pPr>
        <w:pStyle w:val="NoSpacing"/>
        <w:spacing w:line="480" w:lineRule="auto"/>
        <w:ind w:firstLine="450"/>
        <w:jc w:val="both"/>
        <w:rPr>
          <w:rFonts w:ascii="Times New Roman" w:hAnsi="Times New Roman" w:cs="Times New Roman"/>
          <w:sz w:val="26"/>
          <w:szCs w:val="26"/>
        </w:rPr>
      </w:pPr>
      <w:r w:rsidRPr="00195DB8">
        <w:rPr>
          <w:rFonts w:ascii="Times New Roman" w:hAnsi="Times New Roman" w:cs="Times New Roman"/>
          <w:sz w:val="26"/>
          <w:szCs w:val="26"/>
        </w:rPr>
        <w:t>If you are satisfied beyond a reasonable doubt that the defendant committed three violations of (</w:t>
      </w:r>
      <w:r w:rsidRPr="00195DB8">
        <w:rPr>
          <w:rFonts w:ascii="Times New Roman" w:hAnsi="Times New Roman" w:cs="Times New Roman"/>
          <w:sz w:val="26"/>
          <w:szCs w:val="26"/>
          <w:u w:val="single"/>
        </w:rPr>
        <w:t>specify statute</w:t>
      </w:r>
      <w:r w:rsidRPr="00195DB8">
        <w:rPr>
          <w:rFonts w:ascii="Times New Roman" w:hAnsi="Times New Roman" w:cs="Times New Roman"/>
          <w:sz w:val="26"/>
          <w:szCs w:val="26"/>
        </w:rPr>
        <w:t>) within the specified period of time, you should find the defendant guilty.</w:t>
      </w:r>
    </w:p>
    <w:p w14:paraId="4E08FC31" w14:textId="77777777" w:rsidR="0073520A" w:rsidRPr="00195DB8" w:rsidRDefault="0073520A" w:rsidP="001540B7">
      <w:pPr>
        <w:pStyle w:val="NoSpacing"/>
        <w:spacing w:line="480" w:lineRule="auto"/>
        <w:ind w:firstLine="450"/>
        <w:jc w:val="both"/>
        <w:rPr>
          <w:rFonts w:ascii="Times New Roman" w:hAnsi="Times New Roman" w:cs="Times New Roman"/>
          <w:sz w:val="26"/>
          <w:szCs w:val="26"/>
        </w:rPr>
      </w:pPr>
      <w:r w:rsidRPr="00195DB8">
        <w:rPr>
          <w:rFonts w:ascii="Times New Roman" w:hAnsi="Times New Roman" w:cs="Times New Roman"/>
          <w:sz w:val="26"/>
          <w:szCs w:val="26"/>
        </w:rPr>
        <w:t>If you are not so satisfied, you must find the defendant not guilty.</w:t>
      </w:r>
    </w:p>
    <w:p w14:paraId="49BFC595" w14:textId="77777777" w:rsidR="0073520A" w:rsidRPr="00195DB8" w:rsidRDefault="0073520A" w:rsidP="0073520A">
      <w:pPr>
        <w:pStyle w:val="NoSpacing"/>
        <w:rPr>
          <w:rFonts w:ascii="Times New Roman" w:hAnsi="Times New Roman" w:cs="Times New Roman"/>
          <w:sz w:val="26"/>
          <w:szCs w:val="26"/>
        </w:rPr>
      </w:pPr>
    </w:p>
    <w:p w14:paraId="342B8425" w14:textId="77777777" w:rsidR="001540B7" w:rsidRPr="00195DB8" w:rsidRDefault="001540B7" w:rsidP="0073520A">
      <w:pPr>
        <w:pStyle w:val="NoSpacing"/>
        <w:rPr>
          <w:rFonts w:ascii="Times New Roman" w:hAnsi="Times New Roman" w:cs="Times New Roman"/>
          <w:b/>
          <w:bCs/>
        </w:rPr>
      </w:pPr>
    </w:p>
    <w:p w14:paraId="74F61414" w14:textId="77777777" w:rsidR="001540B7" w:rsidRPr="00195DB8" w:rsidRDefault="001540B7" w:rsidP="0073520A">
      <w:pPr>
        <w:pStyle w:val="NoSpacing"/>
        <w:rPr>
          <w:rFonts w:ascii="Times New Roman" w:hAnsi="Times New Roman" w:cs="Times New Roman"/>
          <w:b/>
          <w:bCs/>
        </w:rPr>
      </w:pPr>
    </w:p>
    <w:p w14:paraId="57E18DFE" w14:textId="77777777" w:rsidR="001540B7" w:rsidRPr="00195DB8" w:rsidRDefault="001540B7" w:rsidP="0073520A">
      <w:pPr>
        <w:pStyle w:val="NoSpacing"/>
        <w:rPr>
          <w:rFonts w:ascii="Times New Roman" w:hAnsi="Times New Roman" w:cs="Times New Roman"/>
          <w:b/>
          <w:bCs/>
        </w:rPr>
      </w:pPr>
    </w:p>
    <w:p w14:paraId="40682B7A" w14:textId="77777777" w:rsidR="001540B7" w:rsidRPr="00195DB8" w:rsidRDefault="001540B7" w:rsidP="0073520A">
      <w:pPr>
        <w:pStyle w:val="NoSpacing"/>
        <w:rPr>
          <w:rFonts w:ascii="Times New Roman" w:hAnsi="Times New Roman" w:cs="Times New Roman"/>
          <w:b/>
          <w:bCs/>
        </w:rPr>
      </w:pPr>
    </w:p>
    <w:p w14:paraId="5D0BC08A" w14:textId="6E68AAAA" w:rsidR="0073520A" w:rsidRPr="00195DB8" w:rsidRDefault="0073520A" w:rsidP="0073520A">
      <w:pPr>
        <w:pStyle w:val="NoSpacing"/>
        <w:rPr>
          <w:rFonts w:ascii="Times New Roman" w:hAnsi="Times New Roman" w:cs="Times New Roman"/>
          <w:b/>
          <w:bCs/>
        </w:rPr>
      </w:pPr>
      <w:r w:rsidRPr="00195DB8">
        <w:rPr>
          <w:rFonts w:ascii="Times New Roman" w:hAnsi="Times New Roman" w:cs="Times New Roman"/>
          <w:b/>
          <w:bCs/>
        </w:rPr>
        <w:t>COMMENT</w:t>
      </w:r>
    </w:p>
    <w:p w14:paraId="26E65F0D" w14:textId="77777777" w:rsidR="0073520A" w:rsidRPr="00195DB8" w:rsidRDefault="0073520A" w:rsidP="0073520A">
      <w:pPr>
        <w:pStyle w:val="NoSpacing"/>
        <w:rPr>
          <w:rFonts w:ascii="Times New Roman" w:hAnsi="Times New Roman" w:cs="Times New Roman"/>
          <w:sz w:val="26"/>
          <w:szCs w:val="26"/>
        </w:rPr>
      </w:pPr>
    </w:p>
    <w:p w14:paraId="6ED9454B" w14:textId="7F674787" w:rsidR="0073520A" w:rsidRPr="00195DB8" w:rsidRDefault="0073520A" w:rsidP="001E19C4">
      <w:pPr>
        <w:pStyle w:val="NoSpacing"/>
        <w:ind w:firstLine="450"/>
        <w:jc w:val="both"/>
        <w:rPr>
          <w:rFonts w:ascii="Times New Roman" w:hAnsi="Times New Roman" w:cs="Times New Roman"/>
        </w:rPr>
      </w:pPr>
      <w:r w:rsidRPr="00195DB8">
        <w:rPr>
          <w:rFonts w:ascii="Times New Roman" w:hAnsi="Times New Roman" w:cs="Times New Roman"/>
        </w:rPr>
        <w:t>Wis JI</w:t>
      </w:r>
      <w:r w:rsidR="001E19C4" w:rsidRPr="00195DB8">
        <w:rPr>
          <w:rFonts w:ascii="Times New Roman" w:hAnsi="Times New Roman" w:cs="Times New Roman"/>
        </w:rPr>
        <w:t>–</w:t>
      </w:r>
      <w:r w:rsidRPr="00195DB8">
        <w:rPr>
          <w:rFonts w:ascii="Times New Roman" w:hAnsi="Times New Roman" w:cs="Times New Roman"/>
        </w:rPr>
        <w:t>Criminal 2107 was originally published in 1994 and revised in 1996, 2002, 2003, 2008, 2018</w:t>
      </w:r>
      <w:r w:rsidR="006E3E08">
        <w:rPr>
          <w:rFonts w:ascii="Times New Roman" w:hAnsi="Times New Roman" w:cs="Times New Roman"/>
        </w:rPr>
        <w:t>,</w:t>
      </w:r>
      <w:r w:rsidR="00B96EF6" w:rsidRPr="00195DB8">
        <w:rPr>
          <w:rFonts w:ascii="Times New Roman" w:hAnsi="Times New Roman" w:cs="Times New Roman"/>
        </w:rPr>
        <w:t xml:space="preserve"> and 2019</w:t>
      </w:r>
      <w:r w:rsidRPr="00195DB8">
        <w:rPr>
          <w:rFonts w:ascii="Times New Roman" w:hAnsi="Times New Roman" w:cs="Times New Roman"/>
        </w:rPr>
        <w:t>. This revision was approved by the Committee in</w:t>
      </w:r>
      <w:r w:rsidR="006903D8" w:rsidRPr="00195DB8">
        <w:rPr>
          <w:rFonts w:ascii="Times New Roman" w:hAnsi="Times New Roman" w:cs="Times New Roman"/>
        </w:rPr>
        <w:t xml:space="preserve"> June 2026</w:t>
      </w:r>
      <w:r w:rsidR="00B96EF6" w:rsidRPr="00195DB8">
        <w:rPr>
          <w:rFonts w:ascii="Times New Roman" w:hAnsi="Times New Roman" w:cs="Times New Roman"/>
        </w:rPr>
        <w:t xml:space="preserve">; it updated the comment. </w:t>
      </w:r>
    </w:p>
    <w:p w14:paraId="20444AB4" w14:textId="77777777" w:rsidR="0073520A" w:rsidRPr="00195DB8" w:rsidRDefault="0073520A" w:rsidP="001540B7">
      <w:pPr>
        <w:pStyle w:val="NoSpacing"/>
        <w:jc w:val="both"/>
        <w:rPr>
          <w:rFonts w:ascii="Times New Roman" w:hAnsi="Times New Roman" w:cs="Times New Roman"/>
        </w:rPr>
      </w:pPr>
    </w:p>
    <w:p w14:paraId="76F2A9FD" w14:textId="4BE212E4" w:rsidR="0073520A" w:rsidRPr="00195DB8" w:rsidRDefault="0073520A" w:rsidP="001E19C4">
      <w:pPr>
        <w:pStyle w:val="NoSpacing"/>
        <w:ind w:firstLine="450"/>
        <w:jc w:val="both"/>
        <w:rPr>
          <w:rFonts w:ascii="Times New Roman" w:hAnsi="Times New Roman" w:cs="Times New Roman"/>
        </w:rPr>
      </w:pPr>
      <w:r w:rsidRPr="00195DB8">
        <w:rPr>
          <w:rFonts w:ascii="Times New Roman" w:hAnsi="Times New Roman" w:cs="Times New Roman"/>
        </w:rPr>
        <w:t xml:space="preserve">This instruction is for a violation of § 948.025(1), which was created by 1993 Wisconsin Act 227 [effective date: April 23, 1994].  Act 227 provided that “[t]his act first applies to offenses committed on the effective date of this SECTION.” 1993 Wisconsin Act 227, Section 44, Initial Applicability. </w:t>
      </w:r>
      <w:proofErr w:type="gramStart"/>
      <w:r w:rsidRPr="00195DB8">
        <w:rPr>
          <w:rFonts w:ascii="Times New Roman" w:hAnsi="Times New Roman" w:cs="Times New Roman"/>
        </w:rPr>
        <w:t>Thus</w:t>
      </w:r>
      <w:proofErr w:type="gramEnd"/>
      <w:r w:rsidRPr="00195DB8">
        <w:rPr>
          <w:rFonts w:ascii="Times New Roman" w:hAnsi="Times New Roman" w:cs="Times New Roman"/>
        </w:rPr>
        <w:t xml:space="preserve"> it appears that all of the acts must have occurred after April 23, 1994. The statute was amended by 2007 Wisconsin Act 80 [effective date: March 27, 2008].</w:t>
      </w:r>
    </w:p>
    <w:p w14:paraId="56703D81" w14:textId="77777777" w:rsidR="0073520A" w:rsidRPr="00195DB8" w:rsidRDefault="0073520A" w:rsidP="001540B7">
      <w:pPr>
        <w:pStyle w:val="NoSpacing"/>
        <w:jc w:val="both"/>
        <w:rPr>
          <w:rFonts w:ascii="Times New Roman" w:hAnsi="Times New Roman" w:cs="Times New Roman"/>
        </w:rPr>
      </w:pPr>
    </w:p>
    <w:p w14:paraId="2AF45B9A" w14:textId="1FAA2DFA" w:rsidR="0073520A" w:rsidRPr="00195DB8" w:rsidRDefault="0073520A" w:rsidP="001E19C4">
      <w:pPr>
        <w:pStyle w:val="NoSpacing"/>
        <w:ind w:firstLine="450"/>
        <w:jc w:val="both"/>
        <w:rPr>
          <w:rFonts w:ascii="Times New Roman" w:hAnsi="Times New Roman" w:cs="Times New Roman"/>
        </w:rPr>
      </w:pPr>
      <w:r w:rsidRPr="00195DB8">
        <w:rPr>
          <w:rFonts w:ascii="Times New Roman" w:hAnsi="Times New Roman" w:cs="Times New Roman"/>
          <w:b/>
          <w:bCs/>
        </w:rPr>
        <w:t>NOTE</w:t>
      </w:r>
      <w:r w:rsidRPr="00195DB8">
        <w:rPr>
          <w:rFonts w:ascii="Times New Roman" w:hAnsi="Times New Roman" w:cs="Times New Roman"/>
        </w:rPr>
        <w:t>: This instruction is drafted for a case where the predicate acts alleged are all violations of the same subsection of § 948.02. [See Wis JI</w:t>
      </w:r>
      <w:r w:rsidR="001E19C4" w:rsidRPr="00195DB8">
        <w:rPr>
          <w:rFonts w:ascii="Times New Roman" w:hAnsi="Times New Roman" w:cs="Times New Roman"/>
        </w:rPr>
        <w:t>–</w:t>
      </w:r>
      <w:r w:rsidRPr="00195DB8">
        <w:rPr>
          <w:rFonts w:ascii="Times New Roman" w:hAnsi="Times New Roman" w:cs="Times New Roman"/>
        </w:rPr>
        <w:t>Criminal 2107 EXAMPLE for a case where all predicates are violations of § 948.02(1)(b).] If the charge alleges violations of different subsections of § 948.02, considerable complexity could result and great care should be taken in drafting the instruction. Issues of concern include:</w:t>
      </w:r>
    </w:p>
    <w:p w14:paraId="7B6ADF56" w14:textId="77777777" w:rsidR="0073520A" w:rsidRPr="00195DB8" w:rsidRDefault="0073520A" w:rsidP="001540B7">
      <w:pPr>
        <w:pStyle w:val="NoSpacing"/>
        <w:jc w:val="both"/>
        <w:rPr>
          <w:rFonts w:ascii="Times New Roman" w:hAnsi="Times New Roman" w:cs="Times New Roman"/>
        </w:rPr>
      </w:pPr>
    </w:p>
    <w:p w14:paraId="4E06CF84"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slight variations in the elements of the predicate crimes, as with, for example, the age limits;</w:t>
      </w:r>
    </w:p>
    <w:p w14:paraId="7653DCBB"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determining whether less serious violations of § 948.025 are lesser included offenses – there is no special rule for § 948.025 in § 939.66, so the strict compare-the-statutory elements test would apply;</w:t>
      </w:r>
    </w:p>
    <w:p w14:paraId="0A47F3B7"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submitting individual predicate offenses as lesser included offenses;</w:t>
      </w:r>
    </w:p>
    <w:p w14:paraId="055D57AD"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making a proper statement regarding jury agreement – see § 948.025(2); and,</w:t>
      </w:r>
    </w:p>
    <w:p w14:paraId="68F9310E"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 xml:space="preserve">potential confusion if evidence of other similar acts </w:t>
      </w:r>
      <w:proofErr w:type="gramStart"/>
      <w:r w:rsidRPr="00195DB8">
        <w:rPr>
          <w:rFonts w:ascii="Times New Roman" w:hAnsi="Times New Roman" w:cs="Times New Roman"/>
        </w:rPr>
        <w:t>are</w:t>
      </w:r>
      <w:proofErr w:type="gramEnd"/>
      <w:r w:rsidRPr="00195DB8">
        <w:rPr>
          <w:rFonts w:ascii="Times New Roman" w:hAnsi="Times New Roman" w:cs="Times New Roman"/>
        </w:rPr>
        <w:t xml:space="preserve"> submitted under § 904.04(2).</w:t>
      </w:r>
    </w:p>
    <w:p w14:paraId="3ADBE28B" w14:textId="77777777" w:rsidR="0073520A" w:rsidRPr="00195DB8" w:rsidRDefault="0073520A" w:rsidP="001540B7">
      <w:pPr>
        <w:pStyle w:val="NoSpacing"/>
        <w:jc w:val="both"/>
        <w:rPr>
          <w:rFonts w:ascii="Times New Roman" w:hAnsi="Times New Roman" w:cs="Times New Roman"/>
        </w:rPr>
      </w:pPr>
    </w:p>
    <w:p w14:paraId="208EBD06" w14:textId="1057185F" w:rsidR="0073520A" w:rsidRPr="00195DB8" w:rsidRDefault="0073520A" w:rsidP="001E19C4">
      <w:pPr>
        <w:pStyle w:val="NoSpacing"/>
        <w:ind w:firstLine="450"/>
        <w:jc w:val="both"/>
        <w:rPr>
          <w:rFonts w:ascii="Times New Roman" w:hAnsi="Times New Roman" w:cs="Times New Roman"/>
        </w:rPr>
      </w:pPr>
      <w:r w:rsidRPr="00195DB8">
        <w:rPr>
          <w:rFonts w:ascii="Times New Roman" w:hAnsi="Times New Roman" w:cs="Times New Roman"/>
        </w:rPr>
        <w:t>The 2008 revision of Wis JI-Criminal 2107 reflected the penalty changes made by 2007 Wisconsin Act 80. There are five possible penalties for convictions under § 948.025:</w:t>
      </w:r>
    </w:p>
    <w:p w14:paraId="1EF65072" w14:textId="77777777" w:rsidR="0073520A" w:rsidRPr="00195DB8" w:rsidRDefault="0073520A" w:rsidP="001540B7">
      <w:pPr>
        <w:pStyle w:val="NoSpacing"/>
        <w:jc w:val="both"/>
        <w:rPr>
          <w:rFonts w:ascii="Times New Roman" w:hAnsi="Times New Roman" w:cs="Times New Roman"/>
        </w:rPr>
      </w:pPr>
    </w:p>
    <w:p w14:paraId="6A78E0E8"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 948.025(1)(a) requires at least three violations of § 948.02(</w:t>
      </w:r>
      <w:proofErr w:type="gramStart"/>
      <w:r w:rsidRPr="00195DB8">
        <w:rPr>
          <w:rFonts w:ascii="Times New Roman" w:hAnsi="Times New Roman" w:cs="Times New Roman"/>
        </w:rPr>
        <w:t>1)(</w:t>
      </w:r>
      <w:proofErr w:type="gramEnd"/>
      <w:r w:rsidRPr="00195DB8">
        <w:rPr>
          <w:rFonts w:ascii="Times New Roman" w:hAnsi="Times New Roman" w:cs="Times New Roman"/>
        </w:rPr>
        <w:t>am) and is a Class A felony with a mandatory minimum of 25 years confinement before extended supervision eligibility – see § 939.616(1g).</w:t>
      </w:r>
    </w:p>
    <w:p w14:paraId="3A5906AA" w14:textId="77777777" w:rsidR="0073520A" w:rsidRPr="00195DB8" w:rsidRDefault="0073520A" w:rsidP="001E19C4">
      <w:pPr>
        <w:pStyle w:val="NoSpacing"/>
        <w:tabs>
          <w:tab w:val="left" w:pos="900"/>
        </w:tabs>
        <w:ind w:left="900" w:hanging="450"/>
        <w:jc w:val="both"/>
        <w:rPr>
          <w:rFonts w:ascii="Times New Roman" w:hAnsi="Times New Roman" w:cs="Times New Roman"/>
        </w:rPr>
      </w:pPr>
    </w:p>
    <w:p w14:paraId="04616E32"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 948.025(1)(b) requires at least three violations of § 948.02(</w:t>
      </w:r>
      <w:proofErr w:type="gramStart"/>
      <w:r w:rsidRPr="00195DB8">
        <w:rPr>
          <w:rFonts w:ascii="Times New Roman" w:hAnsi="Times New Roman" w:cs="Times New Roman"/>
        </w:rPr>
        <w:t>1)(</w:t>
      </w:r>
      <w:proofErr w:type="gramEnd"/>
      <w:r w:rsidRPr="00195DB8">
        <w:rPr>
          <w:rFonts w:ascii="Times New Roman" w:hAnsi="Times New Roman" w:cs="Times New Roman"/>
        </w:rPr>
        <w:t>am), (b), or (c ) and is a Class B felony with a mandatory minimum term of confinement of 25 years – see § 939.616(1r).</w:t>
      </w:r>
    </w:p>
    <w:p w14:paraId="28CD1DC0" w14:textId="77777777" w:rsidR="0073520A" w:rsidRPr="00195DB8" w:rsidRDefault="0073520A" w:rsidP="001E19C4">
      <w:pPr>
        <w:pStyle w:val="NoSpacing"/>
        <w:tabs>
          <w:tab w:val="left" w:pos="900"/>
        </w:tabs>
        <w:ind w:left="900" w:hanging="450"/>
        <w:jc w:val="both"/>
        <w:rPr>
          <w:rFonts w:ascii="Times New Roman" w:hAnsi="Times New Roman" w:cs="Times New Roman"/>
        </w:rPr>
      </w:pPr>
    </w:p>
    <w:p w14:paraId="5FFB2152"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 948.025(1)(c) requires at least three violations of § 948.02(</w:t>
      </w:r>
      <w:proofErr w:type="gramStart"/>
      <w:r w:rsidRPr="00195DB8">
        <w:rPr>
          <w:rFonts w:ascii="Times New Roman" w:hAnsi="Times New Roman" w:cs="Times New Roman"/>
        </w:rPr>
        <w:t>1)(</w:t>
      </w:r>
      <w:proofErr w:type="gramEnd"/>
      <w:r w:rsidRPr="00195DB8">
        <w:rPr>
          <w:rFonts w:ascii="Times New Roman" w:hAnsi="Times New Roman" w:cs="Times New Roman"/>
        </w:rPr>
        <w:t>am), (b), (c ), or (d) and is a Class B felony with a mandatory minimum term of confinement of 5 years – see § 939.616(2).</w:t>
      </w:r>
    </w:p>
    <w:p w14:paraId="403A2712" w14:textId="77777777" w:rsidR="0073520A" w:rsidRPr="00195DB8" w:rsidRDefault="0073520A" w:rsidP="001E19C4">
      <w:pPr>
        <w:pStyle w:val="NoSpacing"/>
        <w:tabs>
          <w:tab w:val="left" w:pos="900"/>
        </w:tabs>
        <w:ind w:left="900" w:hanging="450"/>
        <w:jc w:val="both"/>
        <w:rPr>
          <w:rFonts w:ascii="Times New Roman" w:hAnsi="Times New Roman" w:cs="Times New Roman"/>
        </w:rPr>
      </w:pPr>
    </w:p>
    <w:p w14:paraId="11F9C70B"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 948.025(1)(d) requires at least three violations of § 948.02(1) and is a Class B felony with no mandatory minimum term of confinement.</w:t>
      </w:r>
    </w:p>
    <w:p w14:paraId="36559AE2" w14:textId="77777777" w:rsidR="0073520A" w:rsidRPr="00195DB8" w:rsidRDefault="0073520A" w:rsidP="001E19C4">
      <w:pPr>
        <w:pStyle w:val="NoSpacing"/>
        <w:tabs>
          <w:tab w:val="left" w:pos="900"/>
        </w:tabs>
        <w:ind w:left="900" w:hanging="450"/>
        <w:jc w:val="both"/>
        <w:rPr>
          <w:rFonts w:ascii="Times New Roman" w:hAnsi="Times New Roman" w:cs="Times New Roman"/>
        </w:rPr>
      </w:pPr>
    </w:p>
    <w:p w14:paraId="0D239830" w14:textId="77777777" w:rsidR="0073520A" w:rsidRPr="00195DB8" w:rsidRDefault="0073520A" w:rsidP="001E19C4">
      <w:pPr>
        <w:pStyle w:val="NoSpacing"/>
        <w:tabs>
          <w:tab w:val="left" w:pos="900"/>
        </w:tabs>
        <w:ind w:left="900" w:hanging="450"/>
        <w:jc w:val="both"/>
        <w:rPr>
          <w:rFonts w:ascii="Times New Roman" w:hAnsi="Times New Roman" w:cs="Times New Roman"/>
        </w:rPr>
      </w:pPr>
      <w:r w:rsidRPr="00195DB8">
        <w:rPr>
          <w:rFonts w:ascii="Times New Roman" w:hAnsi="Times New Roman" w:cs="Times New Roman"/>
        </w:rPr>
        <w:t>•</w:t>
      </w:r>
      <w:r w:rsidRPr="00195DB8">
        <w:rPr>
          <w:rFonts w:ascii="Times New Roman" w:hAnsi="Times New Roman" w:cs="Times New Roman"/>
        </w:rPr>
        <w:tab/>
        <w:t>§ 948.025(1)(e) requires at least three violations of § 948.02(1) or (2) and is a Class C felony with no mandatory minimum term of confinement.</w:t>
      </w:r>
    </w:p>
    <w:p w14:paraId="299212E0" w14:textId="77777777" w:rsidR="0073520A" w:rsidRPr="00195DB8" w:rsidRDefault="0073520A" w:rsidP="001540B7">
      <w:pPr>
        <w:pStyle w:val="NoSpacing"/>
        <w:jc w:val="both"/>
        <w:rPr>
          <w:rFonts w:ascii="Times New Roman" w:hAnsi="Times New Roman" w:cs="Times New Roman"/>
        </w:rPr>
      </w:pPr>
    </w:p>
    <w:p w14:paraId="63EAE002" w14:textId="4C4F90F5" w:rsidR="0073520A" w:rsidRPr="00195DB8" w:rsidRDefault="0073520A" w:rsidP="001E19C4">
      <w:pPr>
        <w:pStyle w:val="NoSpacing"/>
        <w:ind w:firstLine="450"/>
        <w:jc w:val="both"/>
        <w:rPr>
          <w:rFonts w:ascii="Times New Roman" w:hAnsi="Times New Roman" w:cs="Times New Roman"/>
        </w:rPr>
      </w:pPr>
      <w:r w:rsidRPr="00195DB8">
        <w:rPr>
          <w:rFonts w:ascii="Times New Roman" w:hAnsi="Times New Roman" w:cs="Times New Roman"/>
        </w:rPr>
        <w:t>Penalties and elements for offenses defined in § 948.02 are outlined in Wis JI</w:t>
      </w:r>
      <w:r w:rsidR="00CA62E7" w:rsidRPr="00195DB8">
        <w:rPr>
          <w:rFonts w:ascii="Times New Roman" w:hAnsi="Times New Roman" w:cs="Times New Roman"/>
        </w:rPr>
        <w:t>–</w:t>
      </w:r>
      <w:r w:rsidRPr="00195DB8">
        <w:rPr>
          <w:rFonts w:ascii="Times New Roman" w:hAnsi="Times New Roman" w:cs="Times New Roman"/>
        </w:rPr>
        <w:t>Criminal 2102 INTRODUCTORY COMMENT: § 948.02 SEXUAL ASSAULT OF A CHILD: AS AMENDED BY 2007 WISCONSIN ACT 80 AND 2013 WISCONSIN ACT 167.</w:t>
      </w:r>
    </w:p>
    <w:p w14:paraId="44A09540" w14:textId="77777777" w:rsidR="0073520A" w:rsidRPr="00195DB8" w:rsidRDefault="0073520A" w:rsidP="001540B7">
      <w:pPr>
        <w:pStyle w:val="NoSpacing"/>
        <w:jc w:val="both"/>
        <w:rPr>
          <w:rFonts w:ascii="Times New Roman" w:hAnsi="Times New Roman" w:cs="Times New Roman"/>
        </w:rPr>
      </w:pPr>
    </w:p>
    <w:p w14:paraId="5F8AA100" w14:textId="0E2F3AC0" w:rsidR="0073520A" w:rsidRPr="00195DB8" w:rsidRDefault="0073520A" w:rsidP="001E19C4">
      <w:pPr>
        <w:pStyle w:val="NoSpacing"/>
        <w:ind w:firstLine="450"/>
        <w:jc w:val="both"/>
        <w:rPr>
          <w:rFonts w:ascii="Times New Roman" w:hAnsi="Times New Roman" w:cs="Times New Roman"/>
        </w:rPr>
      </w:pPr>
      <w:r w:rsidRPr="00195DB8">
        <w:rPr>
          <w:rFonts w:ascii="Times New Roman" w:hAnsi="Times New Roman" w:cs="Times New Roman"/>
        </w:rPr>
        <w:t>Section 939.635 provides that the maximum penalty for violations of § 948.025 “may be increased by not more than 5 years” if the offense was “against a child for whom the person was providing child care for compensation.” See Wis JI-Criminal 2115 for a special question that should be added to the instruction when that penalty-increasing fact is charged.</w:t>
      </w:r>
    </w:p>
    <w:p w14:paraId="644F544A" w14:textId="77777777" w:rsidR="0073520A" w:rsidRPr="00195DB8" w:rsidRDefault="0073520A" w:rsidP="001540B7">
      <w:pPr>
        <w:pStyle w:val="NoSpacing"/>
        <w:jc w:val="both"/>
        <w:rPr>
          <w:rFonts w:ascii="Times New Roman" w:hAnsi="Times New Roman" w:cs="Times New Roman"/>
        </w:rPr>
      </w:pPr>
    </w:p>
    <w:p w14:paraId="52618C2C" w14:textId="39CA04B4" w:rsidR="0073520A" w:rsidRPr="00195DB8" w:rsidRDefault="0073520A" w:rsidP="00CA62E7">
      <w:pPr>
        <w:pStyle w:val="NoSpacing"/>
        <w:ind w:firstLine="450"/>
        <w:jc w:val="both"/>
        <w:rPr>
          <w:rFonts w:ascii="Times New Roman" w:hAnsi="Times New Roman" w:cs="Times New Roman"/>
        </w:rPr>
      </w:pPr>
      <w:r w:rsidRPr="00195DB8">
        <w:rPr>
          <w:rFonts w:ascii="Times New Roman" w:hAnsi="Times New Roman" w:cs="Times New Roman"/>
          <w:u w:val="single"/>
        </w:rPr>
        <w:t>State v. Colton M.</w:t>
      </w:r>
      <w:r w:rsidRPr="00195DB8">
        <w:rPr>
          <w:rFonts w:ascii="Times New Roman" w:hAnsi="Times New Roman" w:cs="Times New Roman"/>
        </w:rPr>
        <w:t>, 2015 WI App 94, 366 Wis.</w:t>
      </w:r>
      <w:r w:rsidR="00DA48D8">
        <w:rPr>
          <w:rFonts w:ascii="Times New Roman" w:hAnsi="Times New Roman" w:cs="Times New Roman"/>
        </w:rPr>
        <w:t xml:space="preserve"> </w:t>
      </w:r>
      <w:r w:rsidRPr="00195DB8">
        <w:rPr>
          <w:rFonts w:ascii="Times New Roman" w:hAnsi="Times New Roman" w:cs="Times New Roman"/>
        </w:rPr>
        <w:t>2d 119, 875 N.W.2d 642, concerned a claim by the 15-year-old defendant that applying § 948.025(1)(e) to him violated his due process and equal protection rights because statutes defined him as both a victim and an offender. The court concluded that “§ 948.025(1)(e), as applied to Colton, is not unconstitutionally vague beyond a reasonable doubt and, therefore, his delinquency adjudication under that statute does not violate his due process rights. We also conclude the prosecutor’s decision to charge Colton and not D.</w:t>
      </w:r>
      <w:r w:rsidR="00CA62E7" w:rsidRPr="00195DB8">
        <w:rPr>
          <w:rFonts w:ascii="Times New Roman" w:hAnsi="Times New Roman" w:cs="Times New Roman"/>
        </w:rPr>
        <w:t xml:space="preserve"> </w:t>
      </w:r>
      <w:r w:rsidRPr="00195DB8">
        <w:rPr>
          <w:rFonts w:ascii="Times New Roman" w:hAnsi="Times New Roman" w:cs="Times New Roman"/>
        </w:rPr>
        <w:t>[the underage victim] was not made on a discriminatory basis and, therefore, did not violate Colton’s right to equal protection.” 2015 WI App 94, ¶6.</w:t>
      </w:r>
    </w:p>
    <w:p w14:paraId="034B6667" w14:textId="77777777" w:rsidR="0073520A" w:rsidRPr="00195DB8" w:rsidRDefault="0073520A" w:rsidP="001540B7">
      <w:pPr>
        <w:pStyle w:val="NoSpacing"/>
        <w:jc w:val="both"/>
        <w:rPr>
          <w:rFonts w:ascii="Times New Roman" w:hAnsi="Times New Roman" w:cs="Times New Roman"/>
        </w:rPr>
      </w:pPr>
    </w:p>
    <w:p w14:paraId="62F6EDC6" w14:textId="604B6CCE" w:rsidR="007E7578" w:rsidRPr="00195DB8" w:rsidRDefault="0073520A" w:rsidP="00CA62E7">
      <w:pPr>
        <w:pStyle w:val="NoSpacing"/>
        <w:ind w:firstLine="450"/>
        <w:jc w:val="both"/>
        <w:rPr>
          <w:rFonts w:ascii="Times New Roman" w:hAnsi="Times New Roman" w:cs="Times New Roman"/>
        </w:rPr>
      </w:pPr>
      <w:r w:rsidRPr="00195DB8">
        <w:rPr>
          <w:rFonts w:ascii="Times New Roman" w:hAnsi="Times New Roman" w:cs="Times New Roman"/>
        </w:rPr>
        <w:t xml:space="preserve">Section 948.025(3) prohibits separate charges for sexual assaults that are predicates for the repeated sexual assault charge. See </w:t>
      </w:r>
      <w:r w:rsidRPr="00195DB8">
        <w:rPr>
          <w:rFonts w:ascii="Times New Roman" w:hAnsi="Times New Roman" w:cs="Times New Roman"/>
          <w:u w:val="single"/>
        </w:rPr>
        <w:t>State v. Cooper</w:t>
      </w:r>
      <w:r w:rsidRPr="00195DB8">
        <w:rPr>
          <w:rFonts w:ascii="Times New Roman" w:hAnsi="Times New Roman" w:cs="Times New Roman"/>
        </w:rPr>
        <w:t>, 2003 WI App 227, 267 Wis.</w:t>
      </w:r>
      <w:r w:rsidR="00DA48D8">
        <w:rPr>
          <w:rFonts w:ascii="Times New Roman" w:hAnsi="Times New Roman" w:cs="Times New Roman"/>
        </w:rPr>
        <w:t xml:space="preserve"> </w:t>
      </w:r>
      <w:r w:rsidRPr="00195DB8">
        <w:rPr>
          <w:rFonts w:ascii="Times New Roman" w:hAnsi="Times New Roman" w:cs="Times New Roman"/>
        </w:rPr>
        <w:t xml:space="preserve">2d 886, 672 N.W.2d 118. Separate </w:t>
      </w:r>
      <w:r w:rsidRPr="00195DB8">
        <w:rPr>
          <w:rFonts w:ascii="Times New Roman" w:hAnsi="Times New Roman" w:cs="Times New Roman"/>
        </w:rPr>
        <w:lastRenderedPageBreak/>
        <w:t xml:space="preserve">charges for offenses that are not predicates for the repeated sexual assault charge are permissible. </w:t>
      </w:r>
      <w:r w:rsidRPr="00195DB8">
        <w:rPr>
          <w:rFonts w:ascii="Times New Roman" w:hAnsi="Times New Roman" w:cs="Times New Roman"/>
          <w:u w:val="single"/>
        </w:rPr>
        <w:t xml:space="preserve">State v. </w:t>
      </w:r>
      <w:proofErr w:type="spellStart"/>
      <w:r w:rsidRPr="00195DB8">
        <w:rPr>
          <w:rFonts w:ascii="Times New Roman" w:hAnsi="Times New Roman" w:cs="Times New Roman"/>
          <w:u w:val="single"/>
        </w:rPr>
        <w:t>Nommensen</w:t>
      </w:r>
      <w:proofErr w:type="spellEnd"/>
      <w:r w:rsidRPr="00195DB8">
        <w:rPr>
          <w:rFonts w:ascii="Times New Roman" w:hAnsi="Times New Roman" w:cs="Times New Roman"/>
        </w:rPr>
        <w:t>, 2007 WI App 224, 305 Wis.</w:t>
      </w:r>
      <w:r w:rsidR="00DA48D8">
        <w:rPr>
          <w:rFonts w:ascii="Times New Roman" w:hAnsi="Times New Roman" w:cs="Times New Roman"/>
        </w:rPr>
        <w:t xml:space="preserve"> </w:t>
      </w:r>
      <w:r w:rsidRPr="00195DB8">
        <w:rPr>
          <w:rFonts w:ascii="Times New Roman" w:hAnsi="Times New Roman" w:cs="Times New Roman"/>
        </w:rPr>
        <w:t>2d 695, 741 N.W.2d 481.</w:t>
      </w:r>
    </w:p>
    <w:p w14:paraId="4807CCFB" w14:textId="21C82835" w:rsidR="005A107C" w:rsidRPr="00195DB8" w:rsidRDefault="005A107C" w:rsidP="00195DB8">
      <w:pPr>
        <w:pStyle w:val="NoSpacing"/>
        <w:jc w:val="both"/>
        <w:rPr>
          <w:rFonts w:ascii="Times New Roman" w:hAnsi="Times New Roman" w:cs="Times New Roman"/>
        </w:rPr>
      </w:pPr>
    </w:p>
    <w:p w14:paraId="2736D75B" w14:textId="5993B5AA" w:rsidR="005F76BF" w:rsidRPr="00195DB8" w:rsidRDefault="005F76BF" w:rsidP="005F76BF">
      <w:pPr>
        <w:pStyle w:val="NoSpacing"/>
        <w:ind w:firstLine="450"/>
        <w:jc w:val="both"/>
        <w:rPr>
          <w:rFonts w:ascii="Times New Roman" w:hAnsi="Times New Roman" w:cs="Times New Roman"/>
        </w:rPr>
      </w:pPr>
      <w:r w:rsidRPr="00195DB8">
        <w:rPr>
          <w:rFonts w:ascii="Times New Roman" w:hAnsi="Times New Roman" w:cs="Times New Roman"/>
        </w:rPr>
        <w:t>Where a charge under § 948.025 is based on predicate acts involving sexual contact, the evidence may support more than one statutory alternative within the definition of “sexual contact” under § 948.01(5). For example, the evidence may show both intentional touching of the complainant by the defendant and intentional touching of the defendant by the complainant. In that circumstance, the court should include each alternative form of sexual contact supported by the evidence in the instruction. See Wis JI–Criminal 2101A.</w:t>
      </w:r>
    </w:p>
    <w:p w14:paraId="166A1F39" w14:textId="700F92F3" w:rsidR="00D20228" w:rsidRPr="00195DB8" w:rsidRDefault="00D20228" w:rsidP="00D20228">
      <w:pPr>
        <w:pStyle w:val="NoSpacing"/>
        <w:jc w:val="both"/>
        <w:rPr>
          <w:rFonts w:ascii="Times New Roman" w:hAnsi="Times New Roman" w:cs="Times New Roman"/>
        </w:rPr>
      </w:pPr>
    </w:p>
    <w:p w14:paraId="2085698B" w14:textId="1292ED10" w:rsidR="00D20228" w:rsidRPr="00195DB8" w:rsidRDefault="00D20228" w:rsidP="005F76BF">
      <w:pPr>
        <w:pStyle w:val="NoSpacing"/>
        <w:ind w:firstLine="450"/>
        <w:jc w:val="both"/>
        <w:rPr>
          <w:rFonts w:ascii="Times New Roman" w:hAnsi="Times New Roman" w:cs="Times New Roman"/>
        </w:rPr>
      </w:pPr>
      <w:r w:rsidRPr="00195DB8">
        <w:rPr>
          <w:rFonts w:ascii="Times New Roman" w:hAnsi="Times New Roman" w:cs="Times New Roman"/>
        </w:rPr>
        <w:t xml:space="preserve">This approach is consistent with </w:t>
      </w:r>
      <w:r w:rsidRPr="00195DB8">
        <w:rPr>
          <w:rFonts w:ascii="Times New Roman" w:hAnsi="Times New Roman" w:cs="Times New Roman"/>
          <w:u w:val="single"/>
        </w:rPr>
        <w:t>State v. Coughlin</w:t>
      </w:r>
      <w:r w:rsidRPr="00195DB8">
        <w:rPr>
          <w:rFonts w:ascii="Times New Roman" w:hAnsi="Times New Roman" w:cs="Times New Roman"/>
        </w:rPr>
        <w:t xml:space="preserve">, 2022 WI 43, 402 Wis. 2d 107, 975 N.W.2d 179, although </w:t>
      </w:r>
      <w:r w:rsidRPr="00195DB8">
        <w:rPr>
          <w:rFonts w:ascii="Times New Roman" w:hAnsi="Times New Roman" w:cs="Times New Roman"/>
          <w:u w:val="single"/>
        </w:rPr>
        <w:t>Coughlin</w:t>
      </w:r>
      <w:r w:rsidRPr="00195DB8">
        <w:rPr>
          <w:rFonts w:ascii="Times New Roman" w:hAnsi="Times New Roman" w:cs="Times New Roman"/>
        </w:rPr>
        <w:t xml:space="preserve"> addressed sufficiency of the evidence rather than jury unanimity. In </w:t>
      </w:r>
      <w:r w:rsidRPr="00195DB8">
        <w:rPr>
          <w:rFonts w:ascii="Times New Roman" w:hAnsi="Times New Roman" w:cs="Times New Roman"/>
          <w:u w:val="single"/>
        </w:rPr>
        <w:t>Coughlin</w:t>
      </w:r>
      <w:r w:rsidRPr="00195DB8">
        <w:rPr>
          <w:rFonts w:ascii="Times New Roman" w:hAnsi="Times New Roman" w:cs="Times New Roman"/>
        </w:rPr>
        <w:t xml:space="preserve">, the jury instructions defined “sexual contact” to include both the defendant’s intentional touching of the victims and the victims’ intentional touching of the defendant if the defendant intentionally caused or allowed that touching. </w:t>
      </w:r>
      <w:r w:rsidRPr="00195DB8">
        <w:rPr>
          <w:rFonts w:ascii="Times New Roman" w:hAnsi="Times New Roman" w:cs="Times New Roman"/>
          <w:u w:val="single"/>
        </w:rPr>
        <w:t>Id</w:t>
      </w:r>
      <w:r w:rsidRPr="00195DB8">
        <w:rPr>
          <w:rFonts w:ascii="Times New Roman" w:hAnsi="Times New Roman" w:cs="Times New Roman"/>
        </w:rPr>
        <w:t xml:space="preserve">., ¶¶18 to 19. The supreme court evaluated the sufficiency of the evidence against the jury instructions, explaining that the instructions conformed to the statutory definition and reflected the theory of the crime presented at trial. </w:t>
      </w:r>
      <w:r w:rsidRPr="00195DB8">
        <w:rPr>
          <w:rFonts w:ascii="Times New Roman" w:hAnsi="Times New Roman" w:cs="Times New Roman"/>
          <w:u w:val="single"/>
        </w:rPr>
        <w:t>Id</w:t>
      </w:r>
      <w:r w:rsidRPr="00195DB8">
        <w:rPr>
          <w:rFonts w:ascii="Times New Roman" w:hAnsi="Times New Roman" w:cs="Times New Roman"/>
        </w:rPr>
        <w:t xml:space="preserve">., ¶¶28 to 33. The court specifically noted that the victims testified to both forms of sexual contact and that the State explicitly relied on both forms in closing argument. </w:t>
      </w:r>
      <w:r w:rsidRPr="00195DB8">
        <w:rPr>
          <w:rFonts w:ascii="Times New Roman" w:hAnsi="Times New Roman" w:cs="Times New Roman"/>
          <w:u w:val="single"/>
        </w:rPr>
        <w:t>Id</w:t>
      </w:r>
      <w:r w:rsidRPr="00195DB8">
        <w:rPr>
          <w:rFonts w:ascii="Times New Roman" w:hAnsi="Times New Roman" w:cs="Times New Roman"/>
        </w:rPr>
        <w:t>., ¶¶31 to 32.</w:t>
      </w:r>
    </w:p>
    <w:p w14:paraId="299D4B17" w14:textId="30F7C237" w:rsidR="006903D8" w:rsidRPr="00195DB8" w:rsidRDefault="006903D8" w:rsidP="006903D8">
      <w:pPr>
        <w:pStyle w:val="NoSpacing"/>
        <w:jc w:val="center"/>
        <w:rPr>
          <w:rFonts w:ascii="Times New Roman" w:hAnsi="Times New Roman" w:cs="Times New Roman"/>
          <w:b/>
          <w:bCs/>
        </w:rPr>
      </w:pPr>
      <w:r w:rsidRPr="00195DB8">
        <w:rPr>
          <w:rFonts w:ascii="Times New Roman" w:hAnsi="Times New Roman" w:cs="Times New Roman"/>
          <w:b/>
          <w:bCs/>
        </w:rPr>
        <w:t xml:space="preserve">Unanimity </w:t>
      </w:r>
    </w:p>
    <w:p w14:paraId="18D0C1C3" w14:textId="4C514511" w:rsidR="00B26270" w:rsidRPr="00195DB8" w:rsidRDefault="00B26270" w:rsidP="005F76BF">
      <w:pPr>
        <w:pStyle w:val="NoSpacing"/>
        <w:ind w:firstLine="450"/>
        <w:jc w:val="both"/>
        <w:rPr>
          <w:rFonts w:ascii="Times New Roman" w:hAnsi="Times New Roman" w:cs="Times New Roman"/>
        </w:rPr>
      </w:pPr>
    </w:p>
    <w:p w14:paraId="15CBB73B" w14:textId="27843D3D" w:rsidR="00D20228" w:rsidRPr="00195DB8" w:rsidRDefault="00B26270" w:rsidP="00325EF0">
      <w:pPr>
        <w:pStyle w:val="NoSpacing"/>
        <w:ind w:firstLine="450"/>
        <w:jc w:val="both"/>
        <w:rPr>
          <w:rFonts w:ascii="Times New Roman" w:hAnsi="Times New Roman" w:cs="Times New Roman"/>
        </w:rPr>
      </w:pPr>
      <w:r w:rsidRPr="00195DB8">
        <w:rPr>
          <w:rFonts w:ascii="Times New Roman" w:hAnsi="Times New Roman" w:cs="Times New Roman"/>
        </w:rPr>
        <w:t xml:space="preserve">Submitting more than one statutory alternative of “sexual contact” on a single predicate count raises a question of jury unanimity. The general rule is that unanimity is required only as to the ultimate issue of guilt, not as to which of several alternative means the defendant used to satisfy an element of the offense, provided the alternatives are “conceptually similar.” See </w:t>
      </w:r>
      <w:r w:rsidRPr="00195DB8">
        <w:rPr>
          <w:rFonts w:ascii="Times New Roman" w:hAnsi="Times New Roman" w:cs="Times New Roman"/>
          <w:u w:val="single"/>
        </w:rPr>
        <w:t xml:space="preserve">State v. </w:t>
      </w:r>
      <w:proofErr w:type="spellStart"/>
      <w:r w:rsidRPr="00195DB8">
        <w:rPr>
          <w:rFonts w:ascii="Times New Roman" w:hAnsi="Times New Roman" w:cs="Times New Roman"/>
          <w:u w:val="single"/>
        </w:rPr>
        <w:t>Lomagro</w:t>
      </w:r>
      <w:proofErr w:type="spellEnd"/>
      <w:r w:rsidRPr="00195DB8">
        <w:rPr>
          <w:rFonts w:ascii="Times New Roman" w:hAnsi="Times New Roman" w:cs="Times New Roman"/>
        </w:rPr>
        <w:t>, 113 Wis. 2d 582, 591–9</w:t>
      </w:r>
      <w:r w:rsidR="00D20228" w:rsidRPr="00195DB8">
        <w:rPr>
          <w:rFonts w:ascii="Times New Roman" w:hAnsi="Times New Roman" w:cs="Times New Roman"/>
        </w:rPr>
        <w:t>3</w:t>
      </w:r>
      <w:r w:rsidRPr="00195DB8">
        <w:rPr>
          <w:rFonts w:ascii="Times New Roman" w:hAnsi="Times New Roman" w:cs="Times New Roman"/>
        </w:rPr>
        <w:t xml:space="preserve">, 335 N.W.2d 583 (1983); </w:t>
      </w:r>
      <w:r w:rsidRPr="00195DB8">
        <w:rPr>
          <w:rFonts w:ascii="Times New Roman" w:hAnsi="Times New Roman" w:cs="Times New Roman"/>
          <w:u w:val="single"/>
        </w:rPr>
        <w:t xml:space="preserve">State v. </w:t>
      </w:r>
      <w:proofErr w:type="spellStart"/>
      <w:r w:rsidRPr="00195DB8">
        <w:rPr>
          <w:rFonts w:ascii="Times New Roman" w:hAnsi="Times New Roman" w:cs="Times New Roman"/>
          <w:u w:val="single"/>
        </w:rPr>
        <w:t>Derango</w:t>
      </w:r>
      <w:proofErr w:type="spellEnd"/>
      <w:r w:rsidRPr="00195DB8">
        <w:rPr>
          <w:rFonts w:ascii="Times New Roman" w:hAnsi="Times New Roman" w:cs="Times New Roman"/>
        </w:rPr>
        <w:t>, 2000 WI 89, ¶¶13–</w:t>
      </w:r>
      <w:r w:rsidR="00D20228" w:rsidRPr="00195DB8">
        <w:rPr>
          <w:rFonts w:ascii="Times New Roman" w:hAnsi="Times New Roman" w:cs="Times New Roman"/>
        </w:rPr>
        <w:t>1</w:t>
      </w:r>
      <w:r w:rsidRPr="00195DB8">
        <w:rPr>
          <w:rFonts w:ascii="Times New Roman" w:hAnsi="Times New Roman" w:cs="Times New Roman"/>
        </w:rPr>
        <w:t xml:space="preserve">5, 236 Wis. 2d 721, 613 N.W.2d 833. In </w:t>
      </w:r>
      <w:proofErr w:type="spellStart"/>
      <w:r w:rsidRPr="00195DB8">
        <w:rPr>
          <w:rFonts w:ascii="Times New Roman" w:hAnsi="Times New Roman" w:cs="Times New Roman"/>
          <w:u w:val="single"/>
        </w:rPr>
        <w:t>Lomagro</w:t>
      </w:r>
      <w:proofErr w:type="spellEnd"/>
      <w:r w:rsidRPr="00195DB8">
        <w:rPr>
          <w:rFonts w:ascii="Times New Roman" w:hAnsi="Times New Roman" w:cs="Times New Roman"/>
        </w:rPr>
        <w:t>, the court held that where the legislature has grouped multiple forms of conduct together under a single statutory definition, the legislature has effectively determined that those forms are conceptually similar, and the standard unanimity instruction is sufficient — the jury need not agree on which specific act occurred so long as it unanimously agrees that the defendant committed an act falling within the definition. 113 Wis. 2d at 593–95. Because § 948.01(5) similarly groups together multiple forms of “sexual contact” under a single statutory definition,</w:t>
      </w:r>
      <w:r w:rsidR="00325EF0" w:rsidRPr="00195DB8">
        <w:rPr>
          <w:rFonts w:ascii="Times New Roman" w:hAnsi="Times New Roman" w:cs="Times New Roman"/>
        </w:rPr>
        <w:t xml:space="preserve"> </w:t>
      </w:r>
      <w:proofErr w:type="spellStart"/>
      <w:r w:rsidR="00D20228" w:rsidRPr="00195DB8">
        <w:rPr>
          <w:rFonts w:ascii="Times New Roman" w:hAnsi="Times New Roman" w:cs="Times New Roman"/>
          <w:u w:val="single"/>
        </w:rPr>
        <w:t>Lomagro</w:t>
      </w:r>
      <w:proofErr w:type="spellEnd"/>
      <w:r w:rsidR="00D20228" w:rsidRPr="00195DB8">
        <w:rPr>
          <w:rFonts w:ascii="Times New Roman" w:hAnsi="Times New Roman" w:cs="Times New Roman"/>
        </w:rPr>
        <w:t xml:space="preserve"> and </w:t>
      </w:r>
      <w:proofErr w:type="spellStart"/>
      <w:r w:rsidR="00D20228" w:rsidRPr="00195DB8">
        <w:rPr>
          <w:rFonts w:ascii="Times New Roman" w:hAnsi="Times New Roman" w:cs="Times New Roman"/>
          <w:u w:val="single"/>
        </w:rPr>
        <w:t>Derango</w:t>
      </w:r>
      <w:proofErr w:type="spellEnd"/>
      <w:r w:rsidR="00D20228" w:rsidRPr="00195DB8">
        <w:rPr>
          <w:rFonts w:ascii="Times New Roman" w:hAnsi="Times New Roman" w:cs="Times New Roman"/>
        </w:rPr>
        <w:t xml:space="preserve"> support submitting more than one statutory alternative of sexual contact with the standard unanimity instruction when each alternative is supported by the evidence and reflects the State’s theory at trial.</w:t>
      </w:r>
    </w:p>
    <w:p w14:paraId="623C09D3" w14:textId="77777777" w:rsidR="00D20228" w:rsidRPr="005A107C" w:rsidRDefault="00D20228" w:rsidP="00D20228">
      <w:pPr>
        <w:pStyle w:val="NoSpacing"/>
        <w:ind w:firstLine="450"/>
        <w:jc w:val="both"/>
        <w:rPr>
          <w:rFonts w:ascii="Times New Roman" w:hAnsi="Times New Roman" w:cs="Times New Roman"/>
          <w:color w:val="C00000"/>
        </w:rPr>
      </w:pPr>
    </w:p>
    <w:sectPr w:rsidR="00D20228" w:rsidRPr="005A107C" w:rsidSect="00195DB8">
      <w:headerReference w:type="default" r:id="rId7"/>
      <w:footerReference w:type="default" r:id="rId8"/>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F4E10" w14:textId="77777777" w:rsidR="0073520A" w:rsidRDefault="0073520A" w:rsidP="0073520A">
      <w:pPr>
        <w:spacing w:after="0" w:line="240" w:lineRule="auto"/>
      </w:pPr>
      <w:r>
        <w:separator/>
      </w:r>
    </w:p>
  </w:endnote>
  <w:endnote w:type="continuationSeparator" w:id="0">
    <w:p w14:paraId="483F9A71" w14:textId="77777777" w:rsidR="0073520A" w:rsidRDefault="0073520A" w:rsidP="0073520A">
      <w:pPr>
        <w:spacing w:after="0" w:line="240" w:lineRule="auto"/>
      </w:pPr>
      <w:r>
        <w:continuationSeparator/>
      </w:r>
    </w:p>
  </w:endnote>
  <w:endnote w:id="1">
    <w:p w14:paraId="1C69F0E5" w14:textId="7AE963D7" w:rsidR="001540B7" w:rsidRPr="00195DB8" w:rsidRDefault="001540B7" w:rsidP="001540B7">
      <w:pPr>
        <w:pStyle w:val="NoSpacing"/>
        <w:tabs>
          <w:tab w:val="left" w:pos="900"/>
        </w:tabs>
        <w:ind w:firstLine="450"/>
        <w:jc w:val="both"/>
        <w:rPr>
          <w:rFonts w:ascii="Times New Roman" w:hAnsi="Times New Roman" w:cs="Times New Roman"/>
        </w:rPr>
      </w:pPr>
      <w:r w:rsidRPr="00195DB8">
        <w:rPr>
          <w:rFonts w:ascii="Times New Roman" w:hAnsi="Times New Roman" w:cs="Times New Roman"/>
        </w:rPr>
        <w:endnoteRef/>
      </w:r>
      <w:r w:rsidRPr="00195DB8">
        <w:rPr>
          <w:rFonts w:ascii="Times New Roman" w:hAnsi="Times New Roman" w:cs="Times New Roman"/>
        </w:rPr>
        <w:t>.</w:t>
      </w:r>
      <w:r w:rsidRPr="00195DB8">
        <w:rPr>
          <w:rFonts w:ascii="Times New Roman" w:hAnsi="Times New Roman" w:cs="Times New Roman"/>
        </w:rPr>
        <w:tab/>
        <w:t>The statute refers to 3 or more violations “within a specified period of time.” The Committee concluded that the intent of the statute must be that the prosecutor will specify the applicable period in the charge. That “specified period” should be carried over to the jury instruction. See note 5, below.</w:t>
      </w:r>
    </w:p>
    <w:p w14:paraId="28011644" w14:textId="274B3AAA" w:rsidR="001540B7" w:rsidRPr="00195DB8" w:rsidRDefault="001540B7" w:rsidP="001540B7">
      <w:pPr>
        <w:pStyle w:val="NoSpacing"/>
        <w:jc w:val="both"/>
        <w:rPr>
          <w:rFonts w:ascii="Times New Roman" w:hAnsi="Times New Roman" w:cs="Times New Roman"/>
        </w:rPr>
      </w:pPr>
    </w:p>
  </w:endnote>
  <w:endnote w:id="2">
    <w:p w14:paraId="319DE0E2" w14:textId="29B1223E" w:rsidR="001540B7" w:rsidRPr="00195DB8" w:rsidRDefault="001540B7" w:rsidP="001540B7">
      <w:pPr>
        <w:pStyle w:val="NoSpacing"/>
        <w:tabs>
          <w:tab w:val="left" w:pos="900"/>
        </w:tabs>
        <w:ind w:firstLine="450"/>
        <w:jc w:val="both"/>
        <w:rPr>
          <w:rFonts w:ascii="Times New Roman" w:hAnsi="Times New Roman" w:cs="Times New Roman"/>
        </w:rPr>
      </w:pPr>
      <w:r w:rsidRPr="00195DB8">
        <w:rPr>
          <w:rFonts w:ascii="Times New Roman" w:hAnsi="Times New Roman" w:cs="Times New Roman"/>
        </w:rPr>
        <w:endnoteRef/>
      </w:r>
      <w:r w:rsidRPr="00195DB8">
        <w:rPr>
          <w:rFonts w:ascii="Times New Roman" w:hAnsi="Times New Roman" w:cs="Times New Roman"/>
        </w:rPr>
        <w:t>.</w:t>
      </w:r>
      <w:r w:rsidRPr="00195DB8">
        <w:rPr>
          <w:rFonts w:ascii="Times New Roman" w:hAnsi="Times New Roman" w:cs="Times New Roman"/>
        </w:rPr>
        <w:tab/>
        <w:t>This instruction is drafted for a case where the predicate acts alleged are all violations of the same subsection of § 948.02. Refer to the standard instruction for that subsection and insert it here, using the bullet points in place of numbers for each element. For an illustration, see Wis JI</w:t>
      </w:r>
      <w:r w:rsidR="00CA62E7" w:rsidRPr="00195DB8">
        <w:rPr>
          <w:rFonts w:ascii="Times New Roman" w:hAnsi="Times New Roman" w:cs="Times New Roman"/>
        </w:rPr>
        <w:t>–</w:t>
      </w:r>
      <w:r w:rsidRPr="00195DB8">
        <w:rPr>
          <w:rFonts w:ascii="Times New Roman" w:hAnsi="Times New Roman" w:cs="Times New Roman"/>
        </w:rPr>
        <w:t>Criminal 2107 EXAMPLE.</w:t>
      </w:r>
    </w:p>
    <w:p w14:paraId="0B7B69D6" w14:textId="77777777" w:rsidR="00CA62E7" w:rsidRPr="00195DB8" w:rsidRDefault="00CA62E7" w:rsidP="001540B7">
      <w:pPr>
        <w:pStyle w:val="NoSpacing"/>
        <w:tabs>
          <w:tab w:val="left" w:pos="900"/>
        </w:tabs>
        <w:ind w:firstLine="450"/>
        <w:jc w:val="both"/>
      </w:pPr>
    </w:p>
  </w:endnote>
  <w:endnote w:id="3">
    <w:p w14:paraId="02FEA74B" w14:textId="7D19F569" w:rsidR="00CA62E7" w:rsidRPr="00195DB8" w:rsidRDefault="00CA62E7" w:rsidP="00CA62E7">
      <w:pPr>
        <w:pStyle w:val="EndnoteText"/>
        <w:tabs>
          <w:tab w:val="left" w:pos="900"/>
        </w:tabs>
        <w:ind w:firstLine="450"/>
        <w:jc w:val="both"/>
        <w:rPr>
          <w:rFonts w:ascii="Times New Roman" w:hAnsi="Times New Roman" w:cs="Times New Roman"/>
          <w:sz w:val="22"/>
          <w:szCs w:val="22"/>
        </w:rPr>
      </w:pPr>
      <w:r w:rsidRPr="00195DB8">
        <w:rPr>
          <w:rFonts w:ascii="Times New Roman" w:hAnsi="Times New Roman" w:cs="Times New Roman"/>
          <w:sz w:val="22"/>
          <w:szCs w:val="22"/>
        </w:rPr>
        <w:endnoteRef/>
      </w:r>
      <w:r w:rsidRPr="00195DB8">
        <w:rPr>
          <w:rFonts w:ascii="Times New Roman" w:hAnsi="Times New Roman" w:cs="Times New Roman"/>
          <w:sz w:val="22"/>
          <w:szCs w:val="22"/>
        </w:rPr>
        <w:t xml:space="preserve">. </w:t>
      </w:r>
      <w:r w:rsidRPr="00195DB8">
        <w:rPr>
          <w:rFonts w:ascii="Times New Roman" w:hAnsi="Times New Roman" w:cs="Times New Roman"/>
          <w:sz w:val="22"/>
          <w:szCs w:val="22"/>
        </w:rPr>
        <w:tab/>
        <w:t>To avoid a second reference to “elements” in defining the predicate crimes, the Committee decided that a bulleted list should be used instead of a numerical one.  The instruction introduces the list with “. . . requires the State to prove that:. .” to allow simply plugging in the regular statement of the element without change, using a bullet point instead of a number.  See Wis JI</w:t>
      </w:r>
      <w:r w:rsidRPr="00195DB8">
        <w:rPr>
          <w:rFonts w:ascii="Times New Roman" w:hAnsi="Times New Roman" w:cs="Times New Roman"/>
        </w:rPr>
        <w:t>–</w:t>
      </w:r>
      <w:r w:rsidRPr="00195DB8">
        <w:rPr>
          <w:rFonts w:ascii="Times New Roman" w:hAnsi="Times New Roman" w:cs="Times New Roman"/>
          <w:sz w:val="22"/>
          <w:szCs w:val="22"/>
        </w:rPr>
        <w:t>Criminal 2107 EXAMPLE.</w:t>
      </w:r>
    </w:p>
    <w:p w14:paraId="67E8B9C0" w14:textId="77777777" w:rsidR="00CA62E7" w:rsidRPr="00195DB8" w:rsidRDefault="00CA62E7" w:rsidP="00CA62E7">
      <w:pPr>
        <w:pStyle w:val="EndnoteText"/>
        <w:tabs>
          <w:tab w:val="left" w:pos="900"/>
        </w:tabs>
        <w:ind w:firstLine="450"/>
        <w:jc w:val="both"/>
        <w:rPr>
          <w:rFonts w:ascii="Times New Roman" w:hAnsi="Times New Roman" w:cs="Times New Roman"/>
          <w:sz w:val="22"/>
          <w:szCs w:val="22"/>
        </w:rPr>
      </w:pPr>
    </w:p>
  </w:endnote>
  <w:endnote w:id="4">
    <w:p w14:paraId="4789F358" w14:textId="5834E106" w:rsidR="00CA62E7" w:rsidRPr="00195DB8" w:rsidRDefault="00CA62E7" w:rsidP="00CA62E7">
      <w:pPr>
        <w:pStyle w:val="EndnoteText"/>
        <w:tabs>
          <w:tab w:val="left" w:pos="900"/>
        </w:tabs>
        <w:ind w:firstLine="450"/>
        <w:jc w:val="both"/>
        <w:rPr>
          <w:rFonts w:ascii="Times New Roman" w:hAnsi="Times New Roman" w:cs="Times New Roman"/>
          <w:sz w:val="22"/>
          <w:szCs w:val="22"/>
        </w:rPr>
      </w:pPr>
      <w:r w:rsidRPr="00195DB8">
        <w:rPr>
          <w:rFonts w:ascii="Times New Roman" w:hAnsi="Times New Roman" w:cs="Times New Roman"/>
          <w:sz w:val="22"/>
          <w:szCs w:val="22"/>
        </w:rPr>
        <w:endnoteRef/>
      </w:r>
      <w:r w:rsidRPr="00195DB8">
        <w:rPr>
          <w:rFonts w:ascii="Times New Roman" w:hAnsi="Times New Roman" w:cs="Times New Roman"/>
          <w:sz w:val="22"/>
          <w:szCs w:val="22"/>
        </w:rPr>
        <w:t xml:space="preserve">. </w:t>
      </w:r>
      <w:r w:rsidRPr="00195DB8">
        <w:rPr>
          <w:rFonts w:ascii="Times New Roman" w:hAnsi="Times New Roman" w:cs="Times New Roman"/>
          <w:sz w:val="22"/>
          <w:szCs w:val="22"/>
        </w:rPr>
        <w:tab/>
        <w:t>The Committee recommends that a complete listing of the elements of the “predicate crime” be provided. Decisions of the Wisconsin Court of Appeals have reached this conclusion with respect to bail jumping under § 946.49 [</w:t>
      </w:r>
      <w:r w:rsidRPr="00195DB8">
        <w:rPr>
          <w:rFonts w:ascii="Times New Roman" w:hAnsi="Times New Roman" w:cs="Times New Roman"/>
          <w:sz w:val="22"/>
          <w:szCs w:val="22"/>
          <w:u w:val="single"/>
        </w:rPr>
        <w:t>State v. Henning</w:t>
      </w:r>
      <w:r w:rsidRPr="00195DB8">
        <w:rPr>
          <w:rFonts w:ascii="Times New Roman" w:hAnsi="Times New Roman" w:cs="Times New Roman"/>
          <w:sz w:val="22"/>
          <w:szCs w:val="22"/>
        </w:rPr>
        <w:t>, 2003 WI App 54, ¶25, 261 Wis.</w:t>
      </w:r>
      <w:r w:rsidR="00DA48D8">
        <w:rPr>
          <w:rFonts w:ascii="Times New Roman" w:hAnsi="Times New Roman" w:cs="Times New Roman"/>
          <w:sz w:val="22"/>
          <w:szCs w:val="22"/>
        </w:rPr>
        <w:t xml:space="preserve"> </w:t>
      </w:r>
      <w:r w:rsidRPr="00195DB8">
        <w:rPr>
          <w:rFonts w:ascii="Times New Roman" w:hAnsi="Times New Roman" w:cs="Times New Roman"/>
          <w:sz w:val="22"/>
          <w:szCs w:val="22"/>
        </w:rPr>
        <w:t>2d 664, 660 N.W.2d 698], and the intimidation of a victim under § 940.44 [</w:t>
      </w:r>
      <w:r w:rsidRPr="00195DB8">
        <w:rPr>
          <w:rFonts w:ascii="Times New Roman" w:hAnsi="Times New Roman" w:cs="Times New Roman"/>
          <w:sz w:val="22"/>
          <w:szCs w:val="22"/>
          <w:u w:val="single"/>
        </w:rPr>
        <w:t>State v. Thomas</w:t>
      </w:r>
      <w:r w:rsidRPr="00195DB8">
        <w:rPr>
          <w:rFonts w:ascii="Times New Roman" w:hAnsi="Times New Roman" w:cs="Times New Roman"/>
          <w:sz w:val="22"/>
          <w:szCs w:val="22"/>
        </w:rPr>
        <w:t>, 161 Wis.</w:t>
      </w:r>
      <w:r w:rsidR="00DA48D8">
        <w:rPr>
          <w:rFonts w:ascii="Times New Roman" w:hAnsi="Times New Roman" w:cs="Times New Roman"/>
          <w:sz w:val="22"/>
          <w:szCs w:val="22"/>
        </w:rPr>
        <w:t xml:space="preserve"> </w:t>
      </w:r>
      <w:r w:rsidRPr="00195DB8">
        <w:rPr>
          <w:rFonts w:ascii="Times New Roman" w:hAnsi="Times New Roman" w:cs="Times New Roman"/>
          <w:sz w:val="22"/>
          <w:szCs w:val="22"/>
        </w:rPr>
        <w:t>2d 616, 624, 468 N.W.2d 729 (Ct. App. 1991)].</w:t>
      </w:r>
    </w:p>
  </w:endnote>
  <w:endnote w:id="5">
    <w:p w14:paraId="46735F91" w14:textId="77777777" w:rsidR="00EE5C1A" w:rsidRPr="00195DB8" w:rsidRDefault="00EE5C1A" w:rsidP="005D361A">
      <w:pPr>
        <w:pStyle w:val="NoSpacing"/>
        <w:jc w:val="both"/>
        <w:rPr>
          <w:rFonts w:ascii="Times New Roman" w:hAnsi="Times New Roman" w:cs="Times New Roman"/>
        </w:rPr>
      </w:pPr>
    </w:p>
    <w:p w14:paraId="1A877943" w14:textId="7FBB3CB4" w:rsidR="005D361A" w:rsidRPr="00195DB8" w:rsidRDefault="005D361A" w:rsidP="00EE5C1A">
      <w:pPr>
        <w:pStyle w:val="NoSpacing"/>
        <w:tabs>
          <w:tab w:val="left" w:pos="900"/>
        </w:tabs>
        <w:ind w:firstLine="540"/>
        <w:jc w:val="both"/>
        <w:rPr>
          <w:rFonts w:ascii="Times New Roman" w:hAnsi="Times New Roman" w:cs="Times New Roman"/>
        </w:rPr>
      </w:pPr>
      <w:r w:rsidRPr="00195DB8">
        <w:rPr>
          <w:rFonts w:ascii="Times New Roman" w:hAnsi="Times New Roman" w:cs="Times New Roman"/>
        </w:rPr>
        <w:endnoteRef/>
      </w:r>
      <w:r w:rsidRPr="00195DB8">
        <w:rPr>
          <w:rFonts w:ascii="Times New Roman" w:hAnsi="Times New Roman" w:cs="Times New Roman"/>
        </w:rPr>
        <w:t>. Here identify the beginning and ending dates of the period specified by the prosecution. For example: “The specified period of time is from January 1, 2008 through June 16, 2008.”</w:t>
      </w:r>
    </w:p>
    <w:p w14:paraId="5A43C2C6" w14:textId="77777777" w:rsidR="005D361A" w:rsidRPr="00195DB8" w:rsidRDefault="005D361A" w:rsidP="005D361A">
      <w:pPr>
        <w:pStyle w:val="NoSpacing"/>
        <w:jc w:val="both"/>
        <w:rPr>
          <w:rFonts w:ascii="Times New Roman" w:hAnsi="Times New Roman" w:cs="Times New Roman"/>
        </w:rPr>
      </w:pPr>
    </w:p>
    <w:p w14:paraId="7494120C" w14:textId="021387DE" w:rsidR="005D361A" w:rsidRPr="00195DB8" w:rsidRDefault="005D361A" w:rsidP="00EE5C1A">
      <w:pPr>
        <w:pStyle w:val="NoSpacing"/>
        <w:ind w:firstLine="450"/>
        <w:jc w:val="both"/>
        <w:rPr>
          <w:rFonts w:ascii="Times New Roman" w:hAnsi="Times New Roman" w:cs="Times New Roman"/>
        </w:rPr>
      </w:pPr>
      <w:r w:rsidRPr="00195DB8">
        <w:rPr>
          <w:rFonts w:ascii="Times New Roman" w:hAnsi="Times New Roman" w:cs="Times New Roman"/>
        </w:rPr>
        <w:t xml:space="preserve">In </w:t>
      </w:r>
      <w:r w:rsidRPr="00195DB8">
        <w:rPr>
          <w:rFonts w:ascii="Times New Roman" w:hAnsi="Times New Roman" w:cs="Times New Roman"/>
          <w:u w:val="single"/>
        </w:rPr>
        <w:t>State v. Schultz</w:t>
      </w:r>
      <w:r w:rsidRPr="00195DB8">
        <w:rPr>
          <w:rFonts w:ascii="Times New Roman" w:hAnsi="Times New Roman" w:cs="Times New Roman"/>
        </w:rPr>
        <w:t>, 2019 WI App 3, 385 Wis.</w:t>
      </w:r>
      <w:r w:rsidR="00DA48D8">
        <w:rPr>
          <w:rFonts w:ascii="Times New Roman" w:hAnsi="Times New Roman" w:cs="Times New Roman"/>
        </w:rPr>
        <w:t xml:space="preserve"> </w:t>
      </w:r>
      <w:r w:rsidRPr="00195DB8">
        <w:rPr>
          <w:rFonts w:ascii="Times New Roman" w:hAnsi="Times New Roman" w:cs="Times New Roman"/>
        </w:rPr>
        <w:t>2d 494, 922 N.W.2d 866, the defendant was tried and acquitted on a charge of repeated sexual assault of child. The specified time period was identified as “late summer or early fall” of 2012. After the acquittal, he was charged with a single act of child sexual assault against the same victim alleged to have occurred on or about Oct. 19, 2012. This was based on a paternity test showing he was the father of a child conceived at that time</w:t>
      </w:r>
      <w:r w:rsidR="00D817D9">
        <w:rPr>
          <w:rFonts w:ascii="Times New Roman" w:hAnsi="Times New Roman" w:cs="Times New Roman"/>
        </w:rPr>
        <w:t xml:space="preserve">, and </w:t>
      </w:r>
      <w:r w:rsidR="00D817D9" w:rsidRPr="00195DB8">
        <w:rPr>
          <w:rFonts w:ascii="Times New Roman" w:hAnsi="Times New Roman" w:cs="Times New Roman"/>
        </w:rPr>
        <w:t>Schultz</w:t>
      </w:r>
      <w:r w:rsidRPr="00195DB8">
        <w:rPr>
          <w:rFonts w:ascii="Times New Roman" w:hAnsi="Times New Roman" w:cs="Times New Roman"/>
        </w:rPr>
        <w:t xml:space="preserve"> argued that principles of double jeopardy should bar the charge for child sexual assault. The issue for the court of appeals was whether Oct. 19 was included in the specified time period of “late summer or early fall.”</w:t>
      </w:r>
    </w:p>
    <w:p w14:paraId="6F855AAE" w14:textId="77777777" w:rsidR="005D361A" w:rsidRPr="00195DB8" w:rsidRDefault="005D361A" w:rsidP="005D361A">
      <w:pPr>
        <w:pStyle w:val="NoSpacing"/>
        <w:jc w:val="both"/>
        <w:rPr>
          <w:rFonts w:ascii="Times New Roman" w:hAnsi="Times New Roman" w:cs="Times New Roman"/>
        </w:rPr>
      </w:pPr>
    </w:p>
    <w:p w14:paraId="69F4BD05" w14:textId="4EFC998C" w:rsidR="005D361A" w:rsidRPr="00195DB8" w:rsidRDefault="005D361A" w:rsidP="00EE5C1A">
      <w:pPr>
        <w:pStyle w:val="NoSpacing"/>
        <w:ind w:firstLine="450"/>
        <w:jc w:val="both"/>
        <w:rPr>
          <w:rFonts w:ascii="Times New Roman" w:hAnsi="Times New Roman" w:cs="Times New Roman"/>
        </w:rPr>
      </w:pPr>
      <w:r w:rsidRPr="00195DB8">
        <w:rPr>
          <w:rFonts w:ascii="Times New Roman" w:hAnsi="Times New Roman" w:cs="Times New Roman"/>
        </w:rPr>
        <w:t>The court concluded that “early fall” was ambiguous and that it was “appropriate to look at the entire record to clarify the meaning of the phrase ...”  ¶25. The proper test “is to consider how a reasonable person familiar with the facts and circumstances of a particular case would understand that charging language.”  ¶30. The court concluded that the reasonable person “would not consider the phrase ‘early fall of 2012’ to include October 19.”  ¶34.</w:t>
      </w:r>
    </w:p>
    <w:p w14:paraId="6D0453BD" w14:textId="77777777" w:rsidR="005D361A" w:rsidRPr="00195DB8" w:rsidRDefault="005D361A" w:rsidP="005D361A">
      <w:pPr>
        <w:pStyle w:val="NoSpacing"/>
        <w:jc w:val="both"/>
        <w:rPr>
          <w:rFonts w:ascii="Times New Roman" w:hAnsi="Times New Roman" w:cs="Times New Roman"/>
        </w:rPr>
      </w:pPr>
    </w:p>
    <w:p w14:paraId="5A0D5B37" w14:textId="77777777" w:rsidR="005D361A" w:rsidRPr="00195DB8" w:rsidRDefault="005D361A" w:rsidP="00EE5C1A">
      <w:pPr>
        <w:pStyle w:val="NoSpacing"/>
        <w:ind w:left="450" w:right="450"/>
        <w:jc w:val="both"/>
        <w:rPr>
          <w:rFonts w:ascii="Times New Roman" w:hAnsi="Times New Roman" w:cs="Times New Roman"/>
        </w:rPr>
      </w:pPr>
      <w:r w:rsidRPr="00195DB8">
        <w:rPr>
          <w:rFonts w:ascii="Times New Roman" w:hAnsi="Times New Roman" w:cs="Times New Roman"/>
        </w:rPr>
        <w:t>The court added:</w:t>
      </w:r>
    </w:p>
    <w:p w14:paraId="4D713A00" w14:textId="77777777" w:rsidR="005D361A" w:rsidRPr="00195DB8" w:rsidRDefault="005D361A" w:rsidP="00EE5C1A">
      <w:pPr>
        <w:pStyle w:val="NoSpacing"/>
        <w:ind w:left="450" w:right="450"/>
        <w:jc w:val="both"/>
        <w:rPr>
          <w:rFonts w:ascii="Times New Roman" w:hAnsi="Times New Roman" w:cs="Times New Roman"/>
        </w:rPr>
      </w:pPr>
    </w:p>
    <w:p w14:paraId="0BCAF6DB" w14:textId="4B9B7C21" w:rsidR="005D361A" w:rsidRPr="00195DB8" w:rsidRDefault="005D361A" w:rsidP="00EE5C1A">
      <w:pPr>
        <w:pStyle w:val="NoSpacing"/>
        <w:ind w:left="450" w:right="450"/>
        <w:jc w:val="both"/>
        <w:rPr>
          <w:rFonts w:ascii="Times New Roman" w:hAnsi="Times New Roman" w:cs="Times New Roman"/>
        </w:rPr>
      </w:pPr>
      <w:r w:rsidRPr="00195DB8">
        <w:rPr>
          <w:rFonts w:ascii="Times New Roman" w:hAnsi="Times New Roman" w:cs="Times New Roman"/>
        </w:rPr>
        <w:t>We thus emphasize an important point, lest our decision be read to encourage the use of ambiguous charging language to manipulate double jeopardy protections in future prosecutions: well-established law in Wisconsin already provides a remedy for a defendant facing an ambiguous charge. Specifically, a defendant may move for the dismissal – or, in the alternative, move to make more definite and certain the allegations against him or her – of charges based on allegedly overbroad or ambiguous timeframes in a charging document.</w:t>
      </w:r>
    </w:p>
    <w:p w14:paraId="425401C5" w14:textId="54580084" w:rsidR="005D361A" w:rsidRPr="00195DB8" w:rsidRDefault="005D361A" w:rsidP="00CD50BA">
      <w:pPr>
        <w:pStyle w:val="NoSpacing"/>
        <w:ind w:left="450" w:right="450"/>
        <w:jc w:val="both"/>
        <w:rPr>
          <w:rFonts w:ascii="Times New Roman" w:hAnsi="Times New Roman" w:cs="Times New Roman"/>
        </w:rPr>
      </w:pPr>
      <w:r w:rsidRPr="00195DB8">
        <w:rPr>
          <w:rFonts w:ascii="Times New Roman" w:hAnsi="Times New Roman" w:cs="Times New Roman"/>
        </w:rPr>
        <w:t>¶35.</w:t>
      </w:r>
    </w:p>
    <w:p w14:paraId="112DE895" w14:textId="77777777" w:rsidR="00E3546B" w:rsidRPr="00195DB8" w:rsidRDefault="00E3546B" w:rsidP="00EE5C1A">
      <w:pPr>
        <w:pStyle w:val="NoSpacing"/>
        <w:ind w:left="450" w:right="450"/>
        <w:jc w:val="both"/>
      </w:pPr>
    </w:p>
  </w:endnote>
  <w:endnote w:id="6">
    <w:p w14:paraId="16B5B44C" w14:textId="045E5C60" w:rsidR="00E3546B" w:rsidRPr="00195DB8" w:rsidRDefault="00E3546B" w:rsidP="00E3546B">
      <w:pPr>
        <w:pStyle w:val="EndnoteText"/>
        <w:tabs>
          <w:tab w:val="left" w:pos="900"/>
        </w:tabs>
        <w:ind w:firstLine="450"/>
        <w:jc w:val="both"/>
        <w:rPr>
          <w:rFonts w:ascii="Times New Roman" w:hAnsi="Times New Roman" w:cs="Times New Roman"/>
          <w:sz w:val="22"/>
          <w:szCs w:val="22"/>
        </w:rPr>
      </w:pPr>
      <w:r w:rsidRPr="00195DB8">
        <w:rPr>
          <w:rFonts w:ascii="Times New Roman" w:hAnsi="Times New Roman" w:cs="Times New Roman"/>
          <w:sz w:val="22"/>
          <w:szCs w:val="22"/>
        </w:rPr>
        <w:endnoteRef/>
      </w:r>
      <w:r w:rsidRPr="00195DB8">
        <w:rPr>
          <w:rFonts w:ascii="Times New Roman" w:hAnsi="Times New Roman" w:cs="Times New Roman"/>
          <w:sz w:val="22"/>
          <w:szCs w:val="22"/>
        </w:rPr>
        <w:t xml:space="preserve">. </w:t>
      </w:r>
      <w:r w:rsidRPr="00195DB8">
        <w:rPr>
          <w:rFonts w:ascii="Times New Roman" w:hAnsi="Times New Roman" w:cs="Times New Roman"/>
          <w:sz w:val="22"/>
          <w:szCs w:val="22"/>
        </w:rPr>
        <w:tab/>
        <w:t>This statement is based on § 948.025(2). It is sufficient for cases where all the alleged predicate violations are of the same subsection of § 948.02. If the alleged predicate violations are of different subsections of § 948.02, a more detailed statement is required. See subs. (b) and (c) of § 948.025.</w:t>
      </w:r>
    </w:p>
    <w:p w14:paraId="53D27923" w14:textId="77777777" w:rsidR="00E3546B" w:rsidRPr="00195DB8" w:rsidRDefault="00E3546B" w:rsidP="00E3546B">
      <w:pPr>
        <w:pStyle w:val="EndnoteText"/>
        <w:jc w:val="both"/>
        <w:rPr>
          <w:rFonts w:ascii="Times New Roman" w:hAnsi="Times New Roman" w:cs="Times New Roman"/>
          <w:sz w:val="22"/>
          <w:szCs w:val="22"/>
        </w:rPr>
      </w:pPr>
    </w:p>
    <w:p w14:paraId="1F444432" w14:textId="25224F7F" w:rsidR="00E3546B" w:rsidRDefault="00E3546B" w:rsidP="00E3546B">
      <w:pPr>
        <w:pStyle w:val="EndnoteText"/>
        <w:jc w:val="both"/>
      </w:pPr>
      <w:r w:rsidRPr="00195DB8">
        <w:rPr>
          <w:rFonts w:ascii="Times New Roman" w:hAnsi="Times New Roman" w:cs="Times New Roman"/>
          <w:sz w:val="22"/>
          <w:szCs w:val="22"/>
        </w:rPr>
        <w:tab/>
        <w:t xml:space="preserve">The rules in subsec. (2) of § 948.025 do “not violate due process or the right to a unanimous verdict.” </w:t>
      </w:r>
      <w:r w:rsidRPr="00195DB8">
        <w:rPr>
          <w:rFonts w:ascii="Times New Roman" w:hAnsi="Times New Roman" w:cs="Times New Roman"/>
          <w:sz w:val="22"/>
          <w:szCs w:val="22"/>
          <w:u w:val="single"/>
        </w:rPr>
        <w:t>State v. Johnson</w:t>
      </w:r>
      <w:r w:rsidRPr="00195DB8">
        <w:rPr>
          <w:rFonts w:ascii="Times New Roman" w:hAnsi="Times New Roman" w:cs="Times New Roman"/>
          <w:sz w:val="22"/>
          <w:szCs w:val="22"/>
        </w:rPr>
        <w:t>, 2001 WI 52, ¶28, 243 Wis.</w:t>
      </w:r>
      <w:r w:rsidR="00DA48D8">
        <w:rPr>
          <w:rFonts w:ascii="Times New Roman" w:hAnsi="Times New Roman" w:cs="Times New Roman"/>
          <w:sz w:val="22"/>
          <w:szCs w:val="22"/>
        </w:rPr>
        <w:t xml:space="preserve"> </w:t>
      </w:r>
      <w:r w:rsidRPr="00195DB8">
        <w:rPr>
          <w:rFonts w:ascii="Times New Roman" w:hAnsi="Times New Roman" w:cs="Times New Roman"/>
          <w:sz w:val="22"/>
          <w:szCs w:val="22"/>
        </w:rPr>
        <w:t>2d 365, 627 N.W.2d 455.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C9B40" w14:textId="77777777" w:rsidR="001540B7" w:rsidRDefault="001540B7" w:rsidP="001540B7">
    <w:pPr>
      <w:pStyle w:val="Footer"/>
      <w:jc w:val="both"/>
      <w:rPr>
        <w:rFonts w:ascii="Arial" w:hAnsi="Arial" w:cs="Arial"/>
        <w:sz w:val="20"/>
        <w:szCs w:val="20"/>
      </w:rPr>
    </w:pPr>
  </w:p>
  <w:p w14:paraId="3AA34916" w14:textId="59C55083" w:rsidR="001540B7" w:rsidRPr="001540B7" w:rsidRDefault="001540B7" w:rsidP="001540B7">
    <w:pPr>
      <w:pStyle w:val="Footer"/>
      <w:jc w:val="both"/>
      <w:rPr>
        <w:rFonts w:ascii="Arial" w:hAnsi="Arial" w:cs="Arial"/>
        <w:sz w:val="20"/>
        <w:szCs w:val="20"/>
      </w:rPr>
    </w:pPr>
    <w:r w:rsidRPr="001540B7">
      <w:rPr>
        <w:rFonts w:ascii="Arial" w:hAnsi="Arial" w:cs="Arial"/>
        <w:sz w:val="20"/>
        <w:szCs w:val="20"/>
      </w:rPr>
      <w:t xml:space="preserve">Wisconsin Court System, </w:t>
    </w:r>
    <w:r w:rsidR="00195DB8">
      <w:rPr>
        <w:rFonts w:ascii="Arial" w:hAnsi="Arial" w:cs="Arial"/>
        <w:sz w:val="20"/>
        <w:szCs w:val="20"/>
      </w:rPr>
      <w:t>7</w:t>
    </w:r>
    <w:r w:rsidRPr="001540B7">
      <w:rPr>
        <w:rFonts w:ascii="Arial" w:hAnsi="Arial" w:cs="Arial"/>
        <w:sz w:val="20"/>
        <w:szCs w:val="20"/>
      </w:rPr>
      <w:t>/2026</w:t>
    </w:r>
    <w:r w:rsidRPr="001540B7">
      <w:rPr>
        <w:rFonts w:ascii="Arial" w:hAnsi="Arial" w:cs="Arial"/>
        <w:sz w:val="20"/>
        <w:szCs w:val="20"/>
      </w:rPr>
      <w:tab/>
    </w:r>
    <w:r w:rsidRPr="001540B7">
      <w:rPr>
        <w:rFonts w:ascii="Arial" w:hAnsi="Arial" w:cs="Arial"/>
        <w:sz w:val="20"/>
        <w:szCs w:val="20"/>
      </w:rPr>
      <w:tab/>
      <w:t>(</w:t>
    </w:r>
    <w:r w:rsidR="00195DB8">
      <w:rPr>
        <w:rFonts w:ascii="Arial" w:hAnsi="Arial" w:cs="Arial"/>
        <w:sz w:val="20"/>
        <w:szCs w:val="20"/>
      </w:rPr>
      <w:t>Release No. 71</w:t>
    </w:r>
    <w:r w:rsidRPr="001540B7">
      <w:rPr>
        <w:rFonts w:ascii="Arial" w:hAnsi="Arial" w:cs="Arial"/>
        <w:sz w:val="20"/>
        <w:szCs w:val="20"/>
      </w:rPr>
      <w:t>)</w:t>
    </w:r>
  </w:p>
  <w:sdt>
    <w:sdtPr>
      <w:rPr>
        <w:rFonts w:ascii="Arial" w:hAnsi="Arial" w:cs="Arial"/>
        <w:sz w:val="20"/>
        <w:szCs w:val="20"/>
      </w:rPr>
      <w:id w:val="-1340382650"/>
      <w:docPartObj>
        <w:docPartGallery w:val="Page Numbers (Bottom of Page)"/>
        <w:docPartUnique/>
      </w:docPartObj>
    </w:sdtPr>
    <w:sdtEndPr>
      <w:rPr>
        <w:noProof/>
      </w:rPr>
    </w:sdtEndPr>
    <w:sdtContent>
      <w:p w14:paraId="3E0E022E" w14:textId="615951C8" w:rsidR="001540B7" w:rsidRPr="001540B7" w:rsidRDefault="001540B7">
        <w:pPr>
          <w:pStyle w:val="Footer"/>
          <w:jc w:val="center"/>
          <w:rPr>
            <w:rFonts w:ascii="Arial" w:hAnsi="Arial" w:cs="Arial"/>
            <w:sz w:val="20"/>
            <w:szCs w:val="20"/>
          </w:rPr>
        </w:pPr>
        <w:r w:rsidRPr="001540B7">
          <w:rPr>
            <w:rFonts w:ascii="Arial" w:hAnsi="Arial" w:cs="Arial"/>
            <w:sz w:val="20"/>
            <w:szCs w:val="20"/>
          </w:rPr>
          <w:fldChar w:fldCharType="begin"/>
        </w:r>
        <w:r w:rsidRPr="001540B7">
          <w:rPr>
            <w:rFonts w:ascii="Arial" w:hAnsi="Arial" w:cs="Arial"/>
            <w:sz w:val="20"/>
            <w:szCs w:val="20"/>
          </w:rPr>
          <w:instrText xml:space="preserve"> PAGE   \* MERGEFORMAT </w:instrText>
        </w:r>
        <w:r w:rsidRPr="001540B7">
          <w:rPr>
            <w:rFonts w:ascii="Arial" w:hAnsi="Arial" w:cs="Arial"/>
            <w:sz w:val="20"/>
            <w:szCs w:val="20"/>
          </w:rPr>
          <w:fldChar w:fldCharType="separate"/>
        </w:r>
        <w:r w:rsidRPr="001540B7">
          <w:rPr>
            <w:rFonts w:ascii="Arial" w:hAnsi="Arial" w:cs="Arial"/>
            <w:noProof/>
            <w:sz w:val="20"/>
            <w:szCs w:val="20"/>
          </w:rPr>
          <w:t>2</w:t>
        </w:r>
        <w:r w:rsidRPr="001540B7">
          <w:rPr>
            <w:rFonts w:ascii="Arial" w:hAnsi="Arial" w:cs="Arial"/>
            <w:noProof/>
            <w:sz w:val="20"/>
            <w:szCs w:val="20"/>
          </w:rPr>
          <w:fldChar w:fldCharType="end"/>
        </w:r>
      </w:p>
    </w:sdtContent>
  </w:sdt>
  <w:p w14:paraId="72384B45" w14:textId="77777777" w:rsidR="001540B7" w:rsidRDefault="00154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34B1A" w14:textId="77777777" w:rsidR="0073520A" w:rsidRDefault="0073520A" w:rsidP="0073520A">
      <w:pPr>
        <w:spacing w:after="0" w:line="240" w:lineRule="auto"/>
      </w:pPr>
      <w:r>
        <w:separator/>
      </w:r>
    </w:p>
  </w:footnote>
  <w:footnote w:type="continuationSeparator" w:id="0">
    <w:p w14:paraId="3AA6D27D" w14:textId="77777777" w:rsidR="0073520A" w:rsidRDefault="0073520A" w:rsidP="00735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EF374" w14:textId="77777777" w:rsidR="0073520A" w:rsidRDefault="0073520A" w:rsidP="0073520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6752B106" w14:textId="79891B73" w:rsidR="0073520A" w:rsidRDefault="0073520A" w:rsidP="0073520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73520A">
      <w:rPr>
        <w:rFonts w:ascii="Arial" w:eastAsia="Times New Roman" w:hAnsi="Arial" w:cs="Arial"/>
        <w:b/>
        <w:bCs/>
        <w:sz w:val="28"/>
        <w:szCs w:val="28"/>
      </w:rPr>
      <w:t>2107</w:t>
    </w:r>
    <w:r w:rsidRPr="0073520A">
      <w:rPr>
        <w:rFonts w:ascii="Arial" w:eastAsia="Times New Roman" w:hAnsi="Arial" w:cs="Arial"/>
        <w:b/>
        <w:bCs/>
        <w:sz w:val="28"/>
        <w:szCs w:val="28"/>
      </w:rPr>
      <w:tab/>
      <w:t>WIS JI</w:t>
    </w:r>
    <w:r w:rsidRPr="0073520A">
      <w:rPr>
        <w:rFonts w:ascii="Arial" w:eastAsia="Times New Roman" w:hAnsi="Arial" w:cs="Arial"/>
        <w:b/>
        <w:bCs/>
        <w:sz w:val="28"/>
        <w:szCs w:val="28"/>
      </w:rPr>
      <w:noBreakHyphen/>
      <w:t>CRIMINAL</w:t>
    </w:r>
    <w:r w:rsidRPr="0073520A">
      <w:rPr>
        <w:rFonts w:ascii="Arial" w:eastAsia="Times New Roman" w:hAnsi="Arial" w:cs="Arial"/>
        <w:b/>
        <w:bCs/>
        <w:sz w:val="28"/>
        <w:szCs w:val="28"/>
      </w:rPr>
      <w:tab/>
      <w:t>2107</w:t>
    </w:r>
  </w:p>
  <w:p w14:paraId="2FCF0B8D" w14:textId="34FAF784" w:rsidR="0073520A" w:rsidRDefault="0073520A" w:rsidP="0073520A">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1AF664E3" w14:textId="77777777" w:rsidR="0073520A" w:rsidRPr="0073520A" w:rsidRDefault="0073520A" w:rsidP="0073520A">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20A"/>
    <w:rsid w:val="001540B7"/>
    <w:rsid w:val="00195DB8"/>
    <w:rsid w:val="001B3D1B"/>
    <w:rsid w:val="001E19C4"/>
    <w:rsid w:val="00325EF0"/>
    <w:rsid w:val="00430DBC"/>
    <w:rsid w:val="004A4BD3"/>
    <w:rsid w:val="005A107C"/>
    <w:rsid w:val="005A395A"/>
    <w:rsid w:val="005D361A"/>
    <w:rsid w:val="005F76BF"/>
    <w:rsid w:val="00610D46"/>
    <w:rsid w:val="006903D8"/>
    <w:rsid w:val="006E3E08"/>
    <w:rsid w:val="0073520A"/>
    <w:rsid w:val="0077310E"/>
    <w:rsid w:val="007E7578"/>
    <w:rsid w:val="008922BA"/>
    <w:rsid w:val="008D66BE"/>
    <w:rsid w:val="00B26270"/>
    <w:rsid w:val="00B96EF6"/>
    <w:rsid w:val="00C052B1"/>
    <w:rsid w:val="00C31906"/>
    <w:rsid w:val="00CA62E7"/>
    <w:rsid w:val="00CD50BA"/>
    <w:rsid w:val="00D20228"/>
    <w:rsid w:val="00D817D9"/>
    <w:rsid w:val="00DA48D8"/>
    <w:rsid w:val="00E3546B"/>
    <w:rsid w:val="00EE5C1A"/>
    <w:rsid w:val="00F166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9BD4C"/>
  <w15:chartTrackingRefBased/>
  <w15:docId w15:val="{F66ECC94-90C5-4270-8FBD-BA439DB27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20A"/>
  </w:style>
  <w:style w:type="paragraph" w:styleId="Footer">
    <w:name w:val="footer"/>
    <w:basedOn w:val="Normal"/>
    <w:link w:val="FooterChar"/>
    <w:uiPriority w:val="99"/>
    <w:unhideWhenUsed/>
    <w:rsid w:val="0073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20A"/>
  </w:style>
  <w:style w:type="paragraph" w:styleId="NoSpacing">
    <w:name w:val="No Spacing"/>
    <w:uiPriority w:val="1"/>
    <w:qFormat/>
    <w:rsid w:val="0073520A"/>
    <w:pPr>
      <w:spacing w:after="0" w:line="240" w:lineRule="auto"/>
    </w:pPr>
  </w:style>
  <w:style w:type="character" w:styleId="LineNumber">
    <w:name w:val="line number"/>
    <w:basedOn w:val="DefaultParagraphFont"/>
    <w:uiPriority w:val="99"/>
    <w:semiHidden/>
    <w:unhideWhenUsed/>
    <w:rsid w:val="0073520A"/>
  </w:style>
  <w:style w:type="paragraph" w:styleId="EndnoteText">
    <w:name w:val="endnote text"/>
    <w:basedOn w:val="Normal"/>
    <w:link w:val="EndnoteTextChar"/>
    <w:uiPriority w:val="99"/>
    <w:semiHidden/>
    <w:unhideWhenUsed/>
    <w:rsid w:val="001540B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540B7"/>
    <w:rPr>
      <w:sz w:val="20"/>
      <w:szCs w:val="20"/>
    </w:rPr>
  </w:style>
  <w:style w:type="character" w:styleId="EndnoteReference">
    <w:name w:val="endnote reference"/>
    <w:basedOn w:val="DefaultParagraphFont"/>
    <w:uiPriority w:val="99"/>
    <w:semiHidden/>
    <w:unhideWhenUsed/>
    <w:rsid w:val="001540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B9FA4-405D-4BF9-B6E6-3F20EB508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1327</Words>
  <Characters>7569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7</cp:revision>
  <dcterms:created xsi:type="dcterms:W3CDTF">2026-07-16T18:03:00Z</dcterms:created>
  <dcterms:modified xsi:type="dcterms:W3CDTF">2026-07-16T18:22:00Z</dcterms:modified>
</cp:coreProperties>
</file>